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B9" w:rsidRDefault="00AD0CB9" w:rsidP="00AD0CB9">
      <w:pPr>
        <w:spacing w:line="240" w:lineRule="auto"/>
        <w:ind w:left="360"/>
        <w:jc w:val="both"/>
        <w:rPr>
          <w:b/>
          <w:bCs/>
          <w:color w:val="000000"/>
          <w:sz w:val="28"/>
          <w:szCs w:val="28"/>
        </w:rPr>
      </w:pPr>
      <w:r>
        <w:rPr>
          <w:b/>
          <w:bCs/>
          <w:color w:val="000000"/>
          <w:sz w:val="28"/>
          <w:szCs w:val="28"/>
        </w:rPr>
        <w:t>Исчисление индивидуальных пенсионных коэффициентов</w:t>
      </w:r>
    </w:p>
    <w:p w:rsidR="00AD0CB9" w:rsidRDefault="00AD0CB9" w:rsidP="00AD0CB9">
      <w:pPr>
        <w:spacing w:line="240" w:lineRule="auto"/>
        <w:ind w:firstLine="709"/>
        <w:jc w:val="both"/>
        <w:rPr>
          <w:color w:val="000000"/>
          <w:sz w:val="28"/>
          <w:szCs w:val="28"/>
        </w:rPr>
      </w:pPr>
    </w:p>
    <w:p w:rsidR="00AD0CB9" w:rsidRDefault="00AD0CB9" w:rsidP="00AD0CB9">
      <w:pPr>
        <w:spacing w:line="240" w:lineRule="auto"/>
        <w:ind w:firstLine="709"/>
        <w:jc w:val="both"/>
        <w:rPr>
          <w:color w:val="000000"/>
          <w:sz w:val="28"/>
          <w:szCs w:val="28"/>
        </w:rPr>
      </w:pPr>
      <w:r>
        <w:rPr>
          <w:color w:val="000000"/>
          <w:sz w:val="28"/>
          <w:szCs w:val="28"/>
        </w:rPr>
        <w:t>Величина индивидуального пенсионного коэффициента (ИПК) определяется по формуле:</w:t>
      </w:r>
    </w:p>
    <w:p w:rsidR="00AD0CB9" w:rsidRDefault="00AD0CB9" w:rsidP="00AD0CB9">
      <w:pPr>
        <w:spacing w:line="240" w:lineRule="auto"/>
        <w:ind w:firstLine="709"/>
        <w:jc w:val="both"/>
        <w:rPr>
          <w:color w:val="000000"/>
          <w:sz w:val="28"/>
          <w:szCs w:val="28"/>
        </w:rPr>
      </w:pPr>
      <w:r>
        <w:rPr>
          <w:color w:val="000000"/>
          <w:sz w:val="28"/>
          <w:szCs w:val="28"/>
        </w:rPr>
        <w:t xml:space="preserve"> </w:t>
      </w:r>
    </w:p>
    <w:tbl>
      <w:tblPr>
        <w:tblW w:w="0" w:type="auto"/>
        <w:tblInd w:w="55" w:type="dxa"/>
        <w:tblLayout w:type="fixed"/>
        <w:tblCellMar>
          <w:top w:w="55" w:type="dxa"/>
          <w:left w:w="55" w:type="dxa"/>
          <w:bottom w:w="55" w:type="dxa"/>
          <w:right w:w="55" w:type="dxa"/>
        </w:tblCellMar>
        <w:tblLook w:val="0000"/>
      </w:tblPr>
      <w:tblGrid>
        <w:gridCol w:w="9535"/>
      </w:tblGrid>
      <w:tr w:rsidR="00AD0CB9" w:rsidTr="00C818C9">
        <w:tc>
          <w:tcPr>
            <w:tcW w:w="9535" w:type="dxa"/>
            <w:tcBorders>
              <w:top w:val="single" w:sz="8" w:space="0" w:color="000000"/>
              <w:left w:val="single" w:sz="8" w:space="0" w:color="000000"/>
              <w:bottom w:val="single" w:sz="8" w:space="0" w:color="000000"/>
              <w:right w:val="single" w:sz="8" w:space="0" w:color="000000"/>
            </w:tcBorders>
            <w:shd w:val="clear" w:color="auto" w:fill="auto"/>
          </w:tcPr>
          <w:p w:rsidR="00AD0CB9" w:rsidRDefault="00AD0CB9" w:rsidP="00AD0CB9">
            <w:pPr>
              <w:snapToGrid w:val="0"/>
              <w:spacing w:line="240" w:lineRule="auto"/>
              <w:ind w:firstLine="709"/>
              <w:jc w:val="both"/>
              <w:rPr>
                <w:color w:val="000000"/>
                <w:sz w:val="28"/>
                <w:szCs w:val="28"/>
              </w:rPr>
            </w:pPr>
            <w:r>
              <w:rPr>
                <w:color w:val="000000"/>
                <w:sz w:val="28"/>
                <w:szCs w:val="28"/>
              </w:rPr>
              <w:t>ИПК = (</w:t>
            </w:r>
            <w:proofErr w:type="spellStart"/>
            <w:r>
              <w:rPr>
                <w:color w:val="000000"/>
                <w:sz w:val="28"/>
                <w:szCs w:val="28"/>
              </w:rPr>
              <w:t>ИПКс</w:t>
            </w:r>
            <w:proofErr w:type="spellEnd"/>
            <w:r>
              <w:rPr>
                <w:color w:val="000000"/>
                <w:sz w:val="28"/>
                <w:szCs w:val="28"/>
              </w:rPr>
              <w:t xml:space="preserve"> + </w:t>
            </w:r>
            <w:proofErr w:type="spellStart"/>
            <w:r>
              <w:rPr>
                <w:color w:val="000000"/>
                <w:sz w:val="28"/>
                <w:szCs w:val="28"/>
              </w:rPr>
              <w:t>ИПКн</w:t>
            </w:r>
            <w:proofErr w:type="spellEnd"/>
            <w:r>
              <w:rPr>
                <w:color w:val="000000"/>
                <w:sz w:val="28"/>
                <w:szCs w:val="28"/>
              </w:rPr>
              <w:t xml:space="preserve">) </w:t>
            </w:r>
            <w:proofErr w:type="spellStart"/>
            <w:r>
              <w:rPr>
                <w:color w:val="000000"/>
                <w:sz w:val="28"/>
                <w:szCs w:val="28"/>
              </w:rPr>
              <w:t>x</w:t>
            </w:r>
            <w:proofErr w:type="spellEnd"/>
            <w:r>
              <w:rPr>
                <w:color w:val="000000"/>
                <w:sz w:val="28"/>
                <w:szCs w:val="28"/>
              </w:rPr>
              <w:t xml:space="preserve"> </w:t>
            </w:r>
            <w:proofErr w:type="spellStart"/>
            <w:r>
              <w:rPr>
                <w:color w:val="000000"/>
                <w:sz w:val="28"/>
                <w:szCs w:val="28"/>
              </w:rPr>
              <w:t>КвСП</w:t>
            </w:r>
            <w:proofErr w:type="spellEnd"/>
            <w:r>
              <w:rPr>
                <w:color w:val="000000"/>
                <w:sz w:val="28"/>
                <w:szCs w:val="28"/>
              </w:rPr>
              <w:t>, где</w:t>
            </w:r>
          </w:p>
          <w:p w:rsidR="00AD0CB9" w:rsidRDefault="00AD0CB9" w:rsidP="00AD0CB9">
            <w:pPr>
              <w:spacing w:line="240" w:lineRule="auto"/>
              <w:ind w:firstLine="709"/>
              <w:jc w:val="both"/>
              <w:rPr>
                <w:color w:val="000000"/>
                <w:sz w:val="28"/>
                <w:szCs w:val="28"/>
              </w:rPr>
            </w:pPr>
            <w:r>
              <w:rPr>
                <w:color w:val="000000"/>
                <w:sz w:val="28"/>
                <w:szCs w:val="28"/>
              </w:rPr>
              <w:t>ИПК - индивидуальный пенсионный коэффициент на день назначения страховой пенсии;</w:t>
            </w:r>
          </w:p>
          <w:p w:rsidR="00AD0CB9" w:rsidRDefault="00AD0CB9" w:rsidP="00AD0CB9">
            <w:pPr>
              <w:spacing w:line="240" w:lineRule="auto"/>
              <w:ind w:firstLine="709"/>
              <w:jc w:val="both"/>
              <w:rPr>
                <w:color w:val="000000"/>
                <w:sz w:val="28"/>
                <w:szCs w:val="28"/>
              </w:rPr>
            </w:pPr>
            <w:proofErr w:type="spellStart"/>
            <w:r>
              <w:rPr>
                <w:color w:val="000000"/>
                <w:sz w:val="28"/>
                <w:szCs w:val="28"/>
              </w:rPr>
              <w:t>ИПКс</w:t>
            </w:r>
            <w:proofErr w:type="spellEnd"/>
            <w:r>
              <w:rPr>
                <w:color w:val="000000"/>
                <w:sz w:val="28"/>
                <w:szCs w:val="28"/>
              </w:rPr>
              <w:t xml:space="preserve"> - индивидуальный пенсионный коэффициент за периоды до 1 января 2015 года;</w:t>
            </w:r>
          </w:p>
          <w:p w:rsidR="00AD0CB9" w:rsidRDefault="00AD0CB9" w:rsidP="00AD0CB9">
            <w:pPr>
              <w:spacing w:line="240" w:lineRule="auto"/>
              <w:ind w:firstLine="709"/>
              <w:jc w:val="both"/>
              <w:rPr>
                <w:color w:val="000000"/>
                <w:sz w:val="28"/>
                <w:szCs w:val="28"/>
              </w:rPr>
            </w:pPr>
            <w:proofErr w:type="spellStart"/>
            <w:r>
              <w:rPr>
                <w:color w:val="000000"/>
                <w:sz w:val="28"/>
                <w:szCs w:val="28"/>
              </w:rPr>
              <w:t>ИПКн</w:t>
            </w:r>
            <w:proofErr w:type="spellEnd"/>
            <w:r>
              <w:rPr>
                <w:color w:val="000000"/>
                <w:sz w:val="28"/>
                <w:szCs w:val="28"/>
              </w:rPr>
              <w:t xml:space="preserve"> - индивидуальный пенсионный коэффициент за периоды с 1 января 2015 года;</w:t>
            </w:r>
          </w:p>
          <w:p w:rsidR="00AD0CB9" w:rsidRDefault="00AD0CB9" w:rsidP="00AD0CB9">
            <w:pPr>
              <w:spacing w:line="240" w:lineRule="auto"/>
              <w:ind w:firstLine="709"/>
              <w:jc w:val="both"/>
              <w:rPr>
                <w:color w:val="000000"/>
                <w:sz w:val="28"/>
                <w:szCs w:val="28"/>
              </w:rPr>
            </w:pPr>
            <w:proofErr w:type="spellStart"/>
            <w:r>
              <w:rPr>
                <w:color w:val="000000"/>
                <w:sz w:val="28"/>
                <w:szCs w:val="28"/>
              </w:rPr>
              <w:t>КвСП</w:t>
            </w:r>
            <w:proofErr w:type="spellEnd"/>
            <w:r>
              <w:rPr>
                <w:color w:val="000000"/>
                <w:sz w:val="28"/>
                <w:szCs w:val="28"/>
              </w:rPr>
              <w:t xml:space="preserve"> - коэффициент повышения индивидуального пенсионного коэффициента при исчислении размера страховой пенсии. </w:t>
            </w:r>
          </w:p>
        </w:tc>
      </w:tr>
    </w:tbl>
    <w:p w:rsidR="00AD0CB9" w:rsidRDefault="00AD0CB9" w:rsidP="00AD0CB9">
      <w:pPr>
        <w:spacing w:line="240" w:lineRule="auto"/>
        <w:ind w:firstLine="709"/>
        <w:jc w:val="both"/>
      </w:pPr>
    </w:p>
    <w:p w:rsidR="00AD0CB9" w:rsidRDefault="00513BA6" w:rsidP="00AD0CB9">
      <w:pPr>
        <w:spacing w:line="240" w:lineRule="auto"/>
        <w:ind w:firstLine="709"/>
        <w:jc w:val="both"/>
        <w:rPr>
          <w:color w:val="000000"/>
          <w:sz w:val="28"/>
          <w:szCs w:val="28"/>
        </w:rPr>
      </w:pPr>
      <w:proofErr w:type="gramStart"/>
      <w:r>
        <w:rPr>
          <w:color w:val="000000"/>
          <w:sz w:val="28"/>
          <w:szCs w:val="28"/>
        </w:rPr>
        <w:t>С</w:t>
      </w:r>
      <w:r w:rsidR="00AD0CB9">
        <w:rPr>
          <w:color w:val="000000"/>
          <w:sz w:val="28"/>
          <w:szCs w:val="28"/>
        </w:rPr>
        <w:t>огласно данной формуле ИПК по состоянию на день, с которого назначается страховая пенсия, складывается из индивидуального пенсионного коэффициента за периоды, имевшие место до 1 января 2005 года (</w:t>
      </w:r>
      <w:proofErr w:type="spellStart"/>
      <w:r w:rsidR="00AD0CB9">
        <w:rPr>
          <w:color w:val="000000"/>
          <w:sz w:val="28"/>
          <w:szCs w:val="28"/>
        </w:rPr>
        <w:t>ИПКс</w:t>
      </w:r>
      <w:proofErr w:type="spellEnd"/>
      <w:r w:rsidR="00AD0CB9">
        <w:rPr>
          <w:color w:val="000000"/>
          <w:sz w:val="28"/>
          <w:szCs w:val="28"/>
        </w:rPr>
        <w:t>), и  индивидуального пенсионного коэффициента за периоды, имевшие место с 1 января 2015 года (</w:t>
      </w:r>
      <w:proofErr w:type="spellStart"/>
      <w:r w:rsidR="00AD0CB9">
        <w:rPr>
          <w:color w:val="000000"/>
          <w:sz w:val="28"/>
          <w:szCs w:val="28"/>
        </w:rPr>
        <w:t>ИПКн</w:t>
      </w:r>
      <w:proofErr w:type="spellEnd"/>
      <w:r w:rsidR="00AD0CB9">
        <w:rPr>
          <w:color w:val="000000"/>
          <w:sz w:val="28"/>
          <w:szCs w:val="28"/>
        </w:rPr>
        <w:t>), сумма которых  в установленных случаях увеличивается на коэффициент повышения индивидуального пенсионного коэффициента при исчислении размера страховой пенсии по</w:t>
      </w:r>
      <w:proofErr w:type="gramEnd"/>
      <w:r w:rsidR="00AD0CB9">
        <w:rPr>
          <w:color w:val="000000"/>
          <w:sz w:val="28"/>
          <w:szCs w:val="28"/>
        </w:rPr>
        <w:t xml:space="preserve"> старости или страховой пенсии по случаю потери кормильца (</w:t>
      </w:r>
      <w:proofErr w:type="spellStart"/>
      <w:r w:rsidR="00AD0CB9">
        <w:rPr>
          <w:color w:val="000000"/>
          <w:sz w:val="28"/>
          <w:szCs w:val="28"/>
        </w:rPr>
        <w:t>КвСП</w:t>
      </w:r>
      <w:proofErr w:type="spellEnd"/>
      <w:r w:rsidR="00AD0CB9">
        <w:rPr>
          <w:color w:val="000000"/>
          <w:sz w:val="28"/>
          <w:szCs w:val="28"/>
        </w:rPr>
        <w:t>).</w:t>
      </w:r>
    </w:p>
    <w:tbl>
      <w:tblPr>
        <w:tblW w:w="9428" w:type="dxa"/>
        <w:tblInd w:w="392"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Look w:val="0000"/>
      </w:tblPr>
      <w:tblGrid>
        <w:gridCol w:w="3144"/>
        <w:gridCol w:w="3142"/>
        <w:gridCol w:w="3142"/>
      </w:tblGrid>
      <w:tr w:rsidR="00AD0CB9" w:rsidRPr="00AC4FCA" w:rsidTr="00C818C9">
        <w:trPr>
          <w:trHeight w:val="2220"/>
        </w:trPr>
        <w:tc>
          <w:tcPr>
            <w:tcW w:w="9428" w:type="dxa"/>
            <w:gridSpan w:val="3"/>
            <w:shd w:val="clear" w:color="auto" w:fill="BDD6EE"/>
          </w:tcPr>
          <w:p w:rsidR="00AD0CB9" w:rsidRPr="00AD0CB9" w:rsidRDefault="00AD0CB9" w:rsidP="00AD0CB9">
            <w:pPr>
              <w:spacing w:line="240" w:lineRule="auto"/>
              <w:ind w:right="-1016"/>
              <w:jc w:val="both"/>
              <w:rPr>
                <w:b/>
                <w:bCs/>
                <w:color w:val="FF0000"/>
                <w:sz w:val="28"/>
                <w:szCs w:val="28"/>
              </w:rPr>
            </w:pPr>
          </w:p>
          <w:p w:rsidR="00AD0CB9" w:rsidRPr="00AD0CB9" w:rsidRDefault="00AD0CB9" w:rsidP="00AD0CB9">
            <w:pPr>
              <w:spacing w:line="240" w:lineRule="auto"/>
              <w:ind w:right="-1016"/>
              <w:jc w:val="both"/>
              <w:rPr>
                <w:b/>
                <w:bCs/>
                <w:color w:val="FF0000"/>
                <w:sz w:val="28"/>
                <w:szCs w:val="28"/>
              </w:rPr>
            </w:pPr>
          </w:p>
          <w:p w:rsidR="00AD0CB9" w:rsidRPr="00AD0CB9" w:rsidRDefault="00AD0CB9" w:rsidP="00AD0CB9">
            <w:pPr>
              <w:spacing w:line="240" w:lineRule="auto"/>
              <w:ind w:right="-1016"/>
              <w:jc w:val="both"/>
              <w:rPr>
                <w:b/>
                <w:bCs/>
                <w:color w:val="FF0000"/>
                <w:sz w:val="28"/>
                <w:szCs w:val="28"/>
              </w:rPr>
            </w:pPr>
            <w:r w:rsidRPr="00AD0CB9">
              <w:rPr>
                <w:b/>
                <w:bCs/>
                <w:color w:val="FF0000"/>
                <w:sz w:val="28"/>
                <w:szCs w:val="28"/>
              </w:rPr>
              <w:t>Коэффициент повышения индивидуального пенсионного</w:t>
            </w:r>
          </w:p>
          <w:p w:rsidR="00AD0CB9" w:rsidRPr="00AD0CB9" w:rsidRDefault="00AD0CB9" w:rsidP="00AD0CB9">
            <w:pPr>
              <w:spacing w:line="240" w:lineRule="auto"/>
              <w:ind w:right="-1016"/>
              <w:jc w:val="both"/>
              <w:rPr>
                <w:b/>
                <w:bCs/>
                <w:color w:val="FF0000"/>
                <w:sz w:val="28"/>
                <w:szCs w:val="28"/>
              </w:rPr>
            </w:pPr>
            <w:r w:rsidRPr="00AD0CB9">
              <w:rPr>
                <w:b/>
                <w:bCs/>
                <w:color w:val="FF0000"/>
                <w:sz w:val="28"/>
                <w:szCs w:val="28"/>
              </w:rPr>
              <w:t>коэффициента при исчислении размера страховой пенсии</w:t>
            </w:r>
          </w:p>
          <w:p w:rsidR="00AD0CB9" w:rsidRPr="00AD0CB9" w:rsidRDefault="00AD0CB9" w:rsidP="00AD0CB9">
            <w:pPr>
              <w:spacing w:line="240" w:lineRule="auto"/>
              <w:ind w:right="-1016"/>
              <w:jc w:val="both"/>
              <w:rPr>
                <w:b/>
                <w:bCs/>
                <w:color w:val="FF0000"/>
                <w:sz w:val="28"/>
                <w:szCs w:val="28"/>
              </w:rPr>
            </w:pPr>
            <w:r w:rsidRPr="00AD0CB9">
              <w:rPr>
                <w:b/>
                <w:bCs/>
                <w:color w:val="FF0000"/>
                <w:sz w:val="28"/>
                <w:szCs w:val="28"/>
              </w:rPr>
              <w:t>по старости и по случаю потери кормильца</w:t>
            </w:r>
          </w:p>
          <w:p w:rsidR="00AD0CB9" w:rsidRPr="00AD0CB9" w:rsidRDefault="00AD0CB9" w:rsidP="00AD0CB9">
            <w:pPr>
              <w:spacing w:line="240" w:lineRule="auto"/>
              <w:jc w:val="both"/>
              <w:rPr>
                <w:color w:val="FF0000"/>
                <w:sz w:val="28"/>
                <w:szCs w:val="28"/>
              </w:rPr>
            </w:pP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Число полных месяцев, истекших со дня воз</w:t>
            </w:r>
            <w:r w:rsidRPr="00AD0CB9">
              <w:rPr>
                <w:color w:val="FF0000"/>
                <w:sz w:val="28"/>
                <w:szCs w:val="28"/>
              </w:rPr>
              <w:softHyphen/>
              <w:t>никновения права на страховую пенсию по старости, в том числе назначаемую досрочно (со дня прекращения выплаты страховой пен</w:t>
            </w:r>
            <w:r w:rsidRPr="00AD0CB9">
              <w:rPr>
                <w:color w:val="FF0000"/>
                <w:sz w:val="28"/>
                <w:szCs w:val="28"/>
              </w:rPr>
              <w:softHyphen/>
              <w:t>сии по старости в связи с отказом от получения установленной страхо</w:t>
            </w:r>
            <w:r w:rsidRPr="00AD0CB9">
              <w:rPr>
                <w:color w:val="FF0000"/>
                <w:sz w:val="28"/>
                <w:szCs w:val="28"/>
              </w:rPr>
              <w:softHyphen/>
              <w:t>вой пенсии по старости, в том числе назначен</w:t>
            </w:r>
            <w:r w:rsidRPr="00AD0CB9">
              <w:rPr>
                <w:color w:val="FF0000"/>
                <w:sz w:val="28"/>
                <w:szCs w:val="28"/>
              </w:rPr>
              <w:softHyphen/>
            </w:r>
            <w:r w:rsidRPr="00AD0CB9">
              <w:rPr>
                <w:color w:val="FF0000"/>
                <w:sz w:val="28"/>
                <w:szCs w:val="28"/>
              </w:rPr>
              <w:lastRenderedPageBreak/>
              <w:t>ной досрочно)</w:t>
            </w:r>
          </w:p>
        </w:tc>
        <w:tc>
          <w:tcPr>
            <w:tcW w:w="3142" w:type="dxa"/>
            <w:shd w:val="clear" w:color="auto" w:fill="EEF5FB"/>
          </w:tcPr>
          <w:p w:rsidR="00AD0CB9" w:rsidRPr="00AD0CB9" w:rsidRDefault="00AD0CB9" w:rsidP="00AD0CB9">
            <w:pPr>
              <w:spacing w:line="240" w:lineRule="auto"/>
              <w:jc w:val="both"/>
              <w:rPr>
                <w:color w:val="FF0000"/>
              </w:rPr>
            </w:pPr>
            <w:r w:rsidRPr="00AD0CB9">
              <w:rPr>
                <w:color w:val="FF0000"/>
                <w:sz w:val="28"/>
                <w:szCs w:val="28"/>
              </w:rPr>
              <w:lastRenderedPageBreak/>
              <w:t>Повышающий коэффи</w:t>
            </w:r>
            <w:r w:rsidRPr="00AD0CB9">
              <w:rPr>
                <w:color w:val="FF0000"/>
                <w:sz w:val="28"/>
                <w:szCs w:val="28"/>
              </w:rPr>
              <w:softHyphen/>
              <w:t>циент для лиц, которым назначается (восстанав</w:t>
            </w:r>
            <w:r w:rsidRPr="00AD0CB9">
              <w:rPr>
                <w:color w:val="FF0000"/>
                <w:sz w:val="28"/>
                <w:szCs w:val="28"/>
              </w:rPr>
              <w:softHyphen/>
              <w:t>ливается либо назнача</w:t>
            </w:r>
            <w:r w:rsidRPr="00AD0CB9">
              <w:rPr>
                <w:color w:val="FF0000"/>
                <w:sz w:val="28"/>
                <w:szCs w:val="28"/>
              </w:rPr>
              <w:softHyphen/>
              <w:t>ется вновь) страховая пенсия по старости в со</w:t>
            </w:r>
            <w:r w:rsidRPr="00AD0CB9">
              <w:rPr>
                <w:color w:val="FF0000"/>
                <w:sz w:val="28"/>
                <w:szCs w:val="28"/>
              </w:rPr>
              <w:softHyphen/>
              <w:t>ответствии со статьей 8 настоящего Федераль</w:t>
            </w:r>
            <w:r w:rsidRPr="00AD0CB9">
              <w:rPr>
                <w:color w:val="FF0000"/>
                <w:sz w:val="28"/>
                <w:szCs w:val="28"/>
              </w:rPr>
              <w:softHyphen/>
              <w:t>ного закона или могла быть назначена (восста</w:t>
            </w:r>
            <w:r w:rsidRPr="00AD0CB9">
              <w:rPr>
                <w:color w:val="FF0000"/>
                <w:sz w:val="28"/>
                <w:szCs w:val="28"/>
              </w:rPr>
              <w:softHyphen/>
              <w:t>новлена либо назначена вновь) указанная пенсия при определении раз</w:t>
            </w:r>
            <w:r w:rsidRPr="00AD0CB9">
              <w:rPr>
                <w:color w:val="FF0000"/>
                <w:sz w:val="28"/>
                <w:szCs w:val="28"/>
              </w:rPr>
              <w:softHyphen/>
            </w:r>
            <w:r w:rsidRPr="00AD0CB9">
              <w:rPr>
                <w:color w:val="FF0000"/>
                <w:sz w:val="28"/>
                <w:szCs w:val="28"/>
              </w:rPr>
              <w:lastRenderedPageBreak/>
              <w:t>мера страховой пенсии по случаю потери кор</w:t>
            </w:r>
            <w:r w:rsidRPr="00AD0CB9">
              <w:rPr>
                <w:color w:val="FF0000"/>
                <w:sz w:val="28"/>
                <w:szCs w:val="28"/>
              </w:rPr>
              <w:softHyphen/>
              <w:t>мильца</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lastRenderedPageBreak/>
              <w:t>Повышающий коэффи</w:t>
            </w:r>
            <w:r w:rsidRPr="00AD0CB9">
              <w:rPr>
                <w:color w:val="FF0000"/>
                <w:sz w:val="28"/>
                <w:szCs w:val="28"/>
              </w:rPr>
              <w:softHyphen/>
              <w:t>циент для лиц, которым назначается (восстанав</w:t>
            </w:r>
            <w:r w:rsidRPr="00AD0CB9">
              <w:rPr>
                <w:color w:val="FF0000"/>
                <w:sz w:val="28"/>
                <w:szCs w:val="28"/>
              </w:rPr>
              <w:softHyphen/>
              <w:t>ливается либо назнача</w:t>
            </w:r>
            <w:r w:rsidRPr="00AD0CB9">
              <w:rPr>
                <w:color w:val="FF0000"/>
                <w:sz w:val="28"/>
                <w:szCs w:val="28"/>
              </w:rPr>
              <w:softHyphen/>
              <w:t>ется вновь) страховая пенсия по старости дос</w:t>
            </w:r>
            <w:r w:rsidRPr="00AD0CB9">
              <w:rPr>
                <w:color w:val="FF0000"/>
                <w:sz w:val="28"/>
                <w:szCs w:val="28"/>
              </w:rPr>
              <w:softHyphen/>
              <w:t>рочно или могла быть назначена указанная пенсия при определении размера страховой пен</w:t>
            </w:r>
            <w:r w:rsidRPr="00AD0CB9">
              <w:rPr>
                <w:color w:val="FF0000"/>
                <w:sz w:val="28"/>
                <w:szCs w:val="28"/>
              </w:rPr>
              <w:softHyphen/>
              <w:t>сии по случаю потери кормильца</w:t>
            </w: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lastRenderedPageBreak/>
              <w:t>менее 12</w:t>
            </w:r>
          </w:p>
        </w:tc>
        <w:tc>
          <w:tcPr>
            <w:tcW w:w="3142" w:type="dxa"/>
            <w:shd w:val="clear" w:color="auto" w:fill="ADCCEA"/>
          </w:tcPr>
          <w:p w:rsidR="00AD0CB9" w:rsidRPr="00AD0CB9" w:rsidRDefault="00AD0CB9" w:rsidP="00AD0CB9">
            <w:pPr>
              <w:spacing w:line="240" w:lineRule="auto"/>
              <w:jc w:val="both"/>
              <w:rPr>
                <w:color w:val="FF0000"/>
              </w:rPr>
            </w:pPr>
            <w:r w:rsidRPr="00AD0CB9">
              <w:rPr>
                <w:color w:val="FF0000"/>
                <w:sz w:val="28"/>
                <w:szCs w:val="28"/>
              </w:rPr>
              <w:t>1</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w:t>
            </w: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12</w:t>
            </w:r>
          </w:p>
        </w:tc>
        <w:tc>
          <w:tcPr>
            <w:tcW w:w="3142" w:type="dxa"/>
            <w:shd w:val="clear" w:color="auto" w:fill="EEF5FB"/>
          </w:tcPr>
          <w:p w:rsidR="00AD0CB9" w:rsidRPr="00AD0CB9" w:rsidRDefault="00AD0CB9" w:rsidP="00AD0CB9">
            <w:pPr>
              <w:spacing w:line="240" w:lineRule="auto"/>
              <w:jc w:val="both"/>
              <w:rPr>
                <w:color w:val="FF0000"/>
              </w:rPr>
            </w:pPr>
            <w:r w:rsidRPr="00AD0CB9">
              <w:rPr>
                <w:color w:val="FF0000"/>
                <w:sz w:val="28"/>
                <w:szCs w:val="28"/>
              </w:rPr>
              <w:t>1,07</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1,046</w:t>
            </w: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24</w:t>
            </w:r>
          </w:p>
        </w:tc>
        <w:tc>
          <w:tcPr>
            <w:tcW w:w="3142" w:type="dxa"/>
            <w:shd w:val="clear" w:color="auto" w:fill="ADCCEA"/>
          </w:tcPr>
          <w:p w:rsidR="00AD0CB9" w:rsidRPr="00AD0CB9" w:rsidRDefault="00AD0CB9" w:rsidP="00AD0CB9">
            <w:pPr>
              <w:spacing w:line="240" w:lineRule="auto"/>
              <w:jc w:val="both"/>
              <w:rPr>
                <w:color w:val="FF0000"/>
              </w:rPr>
            </w:pPr>
            <w:r w:rsidRPr="00AD0CB9">
              <w:rPr>
                <w:color w:val="FF0000"/>
                <w:sz w:val="28"/>
                <w:szCs w:val="28"/>
              </w:rPr>
              <w:t>1,15</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1,1</w:t>
            </w: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36</w:t>
            </w:r>
          </w:p>
        </w:tc>
        <w:tc>
          <w:tcPr>
            <w:tcW w:w="3142" w:type="dxa"/>
            <w:shd w:val="clear" w:color="auto" w:fill="EEF5FB"/>
          </w:tcPr>
          <w:p w:rsidR="00AD0CB9" w:rsidRPr="00AD0CB9" w:rsidRDefault="00AD0CB9" w:rsidP="00AD0CB9">
            <w:pPr>
              <w:spacing w:line="240" w:lineRule="auto"/>
              <w:jc w:val="both"/>
              <w:rPr>
                <w:color w:val="FF0000"/>
              </w:rPr>
            </w:pPr>
            <w:r w:rsidRPr="00AD0CB9">
              <w:rPr>
                <w:color w:val="FF0000"/>
                <w:sz w:val="28"/>
                <w:szCs w:val="28"/>
              </w:rPr>
              <w:t>1,24</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1,16</w:t>
            </w: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48</w:t>
            </w:r>
          </w:p>
        </w:tc>
        <w:tc>
          <w:tcPr>
            <w:tcW w:w="3142" w:type="dxa"/>
            <w:shd w:val="clear" w:color="auto" w:fill="ADCCEA"/>
          </w:tcPr>
          <w:p w:rsidR="00AD0CB9" w:rsidRPr="00AD0CB9" w:rsidRDefault="00AD0CB9" w:rsidP="00AD0CB9">
            <w:pPr>
              <w:spacing w:line="240" w:lineRule="auto"/>
              <w:jc w:val="both"/>
              <w:rPr>
                <w:color w:val="FF0000"/>
              </w:rPr>
            </w:pPr>
            <w:r w:rsidRPr="00AD0CB9">
              <w:rPr>
                <w:color w:val="FF0000"/>
                <w:sz w:val="28"/>
                <w:szCs w:val="28"/>
              </w:rPr>
              <w:t>1,34</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1,22</w:t>
            </w: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60</w:t>
            </w:r>
          </w:p>
        </w:tc>
        <w:tc>
          <w:tcPr>
            <w:tcW w:w="3142" w:type="dxa"/>
            <w:shd w:val="clear" w:color="auto" w:fill="EEF5FB"/>
          </w:tcPr>
          <w:p w:rsidR="00AD0CB9" w:rsidRPr="00AD0CB9" w:rsidRDefault="00AD0CB9" w:rsidP="00AD0CB9">
            <w:pPr>
              <w:spacing w:line="240" w:lineRule="auto"/>
              <w:jc w:val="both"/>
              <w:rPr>
                <w:color w:val="FF0000"/>
              </w:rPr>
            </w:pPr>
            <w:r w:rsidRPr="00AD0CB9">
              <w:rPr>
                <w:color w:val="FF0000"/>
                <w:sz w:val="28"/>
                <w:szCs w:val="28"/>
              </w:rPr>
              <w:t>1,45</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1,29</w:t>
            </w: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72</w:t>
            </w:r>
          </w:p>
        </w:tc>
        <w:tc>
          <w:tcPr>
            <w:tcW w:w="3142" w:type="dxa"/>
            <w:shd w:val="clear" w:color="auto" w:fill="ADCCEA"/>
          </w:tcPr>
          <w:p w:rsidR="00AD0CB9" w:rsidRPr="00AD0CB9" w:rsidRDefault="00AD0CB9" w:rsidP="00AD0CB9">
            <w:pPr>
              <w:spacing w:line="240" w:lineRule="auto"/>
              <w:jc w:val="both"/>
              <w:rPr>
                <w:color w:val="FF0000"/>
              </w:rPr>
            </w:pPr>
            <w:r w:rsidRPr="00AD0CB9">
              <w:rPr>
                <w:color w:val="FF0000"/>
                <w:sz w:val="28"/>
                <w:szCs w:val="28"/>
              </w:rPr>
              <w:t>1,59</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1,37</w:t>
            </w: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84</w:t>
            </w:r>
          </w:p>
        </w:tc>
        <w:tc>
          <w:tcPr>
            <w:tcW w:w="3142" w:type="dxa"/>
            <w:shd w:val="clear" w:color="auto" w:fill="EEF5FB"/>
          </w:tcPr>
          <w:p w:rsidR="00AD0CB9" w:rsidRPr="00AD0CB9" w:rsidRDefault="00AD0CB9" w:rsidP="00AD0CB9">
            <w:pPr>
              <w:spacing w:line="240" w:lineRule="auto"/>
              <w:jc w:val="both"/>
              <w:rPr>
                <w:color w:val="FF0000"/>
              </w:rPr>
            </w:pPr>
            <w:r w:rsidRPr="00AD0CB9">
              <w:rPr>
                <w:color w:val="FF0000"/>
                <w:sz w:val="28"/>
                <w:szCs w:val="28"/>
              </w:rPr>
              <w:t>1,74</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1,45</w:t>
            </w: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96</w:t>
            </w:r>
          </w:p>
        </w:tc>
        <w:tc>
          <w:tcPr>
            <w:tcW w:w="3142" w:type="dxa"/>
            <w:shd w:val="clear" w:color="auto" w:fill="ADCCEA"/>
          </w:tcPr>
          <w:p w:rsidR="00AD0CB9" w:rsidRPr="00AD0CB9" w:rsidRDefault="00AD0CB9" w:rsidP="00AD0CB9">
            <w:pPr>
              <w:spacing w:line="240" w:lineRule="auto"/>
              <w:jc w:val="both"/>
              <w:rPr>
                <w:color w:val="FF0000"/>
              </w:rPr>
            </w:pPr>
            <w:r w:rsidRPr="00AD0CB9">
              <w:rPr>
                <w:color w:val="FF0000"/>
                <w:sz w:val="28"/>
                <w:szCs w:val="28"/>
              </w:rPr>
              <w:t>1,9</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1,52</w:t>
            </w: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108</w:t>
            </w:r>
          </w:p>
        </w:tc>
        <w:tc>
          <w:tcPr>
            <w:tcW w:w="3142" w:type="dxa"/>
            <w:shd w:val="clear" w:color="auto" w:fill="EEF5FB"/>
          </w:tcPr>
          <w:p w:rsidR="00AD0CB9" w:rsidRPr="00AD0CB9" w:rsidRDefault="00AD0CB9" w:rsidP="00AD0CB9">
            <w:pPr>
              <w:spacing w:line="240" w:lineRule="auto"/>
              <w:jc w:val="both"/>
              <w:rPr>
                <w:color w:val="FF0000"/>
              </w:rPr>
            </w:pPr>
            <w:r w:rsidRPr="00AD0CB9">
              <w:rPr>
                <w:color w:val="FF0000"/>
                <w:sz w:val="28"/>
                <w:szCs w:val="28"/>
              </w:rPr>
              <w:t>2,09</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1,6</w:t>
            </w:r>
          </w:p>
        </w:tc>
      </w:tr>
      <w:tr w:rsidR="00AD0CB9" w:rsidRPr="00D66C40" w:rsidTr="00C818C9">
        <w:trPr>
          <w:trHeight w:val="1"/>
        </w:trPr>
        <w:tc>
          <w:tcPr>
            <w:tcW w:w="3144"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120</w:t>
            </w:r>
          </w:p>
        </w:tc>
        <w:tc>
          <w:tcPr>
            <w:tcW w:w="3142" w:type="dxa"/>
            <w:shd w:val="clear" w:color="auto" w:fill="ADCCEA"/>
          </w:tcPr>
          <w:p w:rsidR="00AD0CB9" w:rsidRPr="00AD0CB9" w:rsidRDefault="00AD0CB9" w:rsidP="00AD0CB9">
            <w:pPr>
              <w:spacing w:line="240" w:lineRule="auto"/>
              <w:jc w:val="both"/>
              <w:rPr>
                <w:color w:val="FF0000"/>
              </w:rPr>
            </w:pPr>
            <w:r w:rsidRPr="00AD0CB9">
              <w:rPr>
                <w:color w:val="FF0000"/>
                <w:sz w:val="28"/>
                <w:szCs w:val="28"/>
              </w:rPr>
              <w:t>2,32</w:t>
            </w:r>
          </w:p>
        </w:tc>
        <w:tc>
          <w:tcPr>
            <w:tcW w:w="3142" w:type="dxa"/>
            <w:shd w:val="clear" w:color="auto" w:fill="BDD6EE"/>
          </w:tcPr>
          <w:p w:rsidR="00AD0CB9" w:rsidRPr="00AD0CB9" w:rsidRDefault="00AD0CB9" w:rsidP="00AD0CB9">
            <w:pPr>
              <w:spacing w:line="240" w:lineRule="auto"/>
              <w:jc w:val="both"/>
              <w:rPr>
                <w:color w:val="FF0000"/>
              </w:rPr>
            </w:pPr>
            <w:r w:rsidRPr="00AD0CB9">
              <w:rPr>
                <w:color w:val="FF0000"/>
                <w:sz w:val="28"/>
                <w:szCs w:val="28"/>
              </w:rPr>
              <w:t>1,68</w:t>
            </w:r>
          </w:p>
        </w:tc>
      </w:tr>
    </w:tbl>
    <w:p w:rsidR="00AD0CB9" w:rsidRPr="005262E5" w:rsidRDefault="00AD0CB9" w:rsidP="00AD0CB9">
      <w:pPr>
        <w:spacing w:line="240" w:lineRule="auto"/>
        <w:ind w:firstLine="709"/>
        <w:jc w:val="both"/>
        <w:rPr>
          <w:i/>
          <w:color w:val="000000"/>
          <w:sz w:val="22"/>
          <w:szCs w:val="22"/>
        </w:rPr>
      </w:pPr>
    </w:p>
    <w:p w:rsidR="00AD0CB9" w:rsidRDefault="00AD0CB9" w:rsidP="00AD0CB9">
      <w:pPr>
        <w:spacing w:line="240" w:lineRule="auto"/>
        <w:ind w:firstLine="709"/>
        <w:jc w:val="both"/>
        <w:rPr>
          <w:color w:val="000000"/>
          <w:sz w:val="28"/>
          <w:szCs w:val="28"/>
        </w:rPr>
      </w:pPr>
    </w:p>
    <w:p w:rsidR="00AD0CB9" w:rsidRDefault="00AD0CB9" w:rsidP="00AD0CB9">
      <w:pPr>
        <w:spacing w:line="240" w:lineRule="auto"/>
        <w:ind w:firstLine="709"/>
        <w:jc w:val="both"/>
        <w:rPr>
          <w:color w:val="000000"/>
          <w:sz w:val="28"/>
          <w:szCs w:val="28"/>
        </w:rPr>
      </w:pPr>
      <w:r>
        <w:rPr>
          <w:color w:val="000000"/>
          <w:sz w:val="28"/>
          <w:szCs w:val="28"/>
        </w:rPr>
        <w:t xml:space="preserve">Величина </w:t>
      </w:r>
      <w:proofErr w:type="spellStart"/>
      <w:r>
        <w:rPr>
          <w:color w:val="000000"/>
          <w:sz w:val="28"/>
          <w:szCs w:val="28"/>
        </w:rPr>
        <w:t>ИПКс</w:t>
      </w:r>
      <w:proofErr w:type="spellEnd"/>
      <w:r>
        <w:rPr>
          <w:color w:val="000000"/>
          <w:sz w:val="28"/>
          <w:szCs w:val="28"/>
        </w:rPr>
        <w:t xml:space="preserve"> определяется по формуле: </w:t>
      </w:r>
    </w:p>
    <w:tbl>
      <w:tblPr>
        <w:tblW w:w="0" w:type="auto"/>
        <w:tblInd w:w="55" w:type="dxa"/>
        <w:tblLayout w:type="fixed"/>
        <w:tblCellMar>
          <w:top w:w="55" w:type="dxa"/>
          <w:left w:w="55" w:type="dxa"/>
          <w:bottom w:w="55" w:type="dxa"/>
          <w:right w:w="55" w:type="dxa"/>
        </w:tblCellMar>
        <w:tblLook w:val="0000"/>
      </w:tblPr>
      <w:tblGrid>
        <w:gridCol w:w="9535"/>
      </w:tblGrid>
      <w:tr w:rsidR="00AD0CB9" w:rsidTr="00C818C9">
        <w:tc>
          <w:tcPr>
            <w:tcW w:w="9535" w:type="dxa"/>
            <w:tcBorders>
              <w:top w:val="single" w:sz="8" w:space="0" w:color="000000"/>
              <w:left w:val="single" w:sz="8" w:space="0" w:color="000000"/>
              <w:bottom w:val="single" w:sz="8" w:space="0" w:color="000000"/>
              <w:right w:val="single" w:sz="8" w:space="0" w:color="000000"/>
            </w:tcBorders>
            <w:shd w:val="clear" w:color="auto" w:fill="auto"/>
          </w:tcPr>
          <w:p w:rsidR="00AD0CB9" w:rsidRDefault="00AD0CB9" w:rsidP="00AD0CB9">
            <w:pPr>
              <w:snapToGrid w:val="0"/>
              <w:spacing w:line="240" w:lineRule="auto"/>
              <w:ind w:firstLine="709"/>
              <w:jc w:val="both"/>
              <w:rPr>
                <w:color w:val="000000"/>
                <w:sz w:val="28"/>
                <w:szCs w:val="28"/>
              </w:rPr>
            </w:pPr>
            <w:proofErr w:type="spellStart"/>
            <w:r>
              <w:rPr>
                <w:color w:val="000000"/>
                <w:sz w:val="28"/>
                <w:szCs w:val="28"/>
              </w:rPr>
              <w:t>ИПКс</w:t>
            </w:r>
            <w:proofErr w:type="spellEnd"/>
            <w:r>
              <w:rPr>
                <w:color w:val="000000"/>
                <w:sz w:val="28"/>
                <w:szCs w:val="28"/>
              </w:rPr>
              <w:t xml:space="preserve"> = П/</w:t>
            </w:r>
            <w:proofErr w:type="spellStart"/>
            <w:r>
              <w:rPr>
                <w:color w:val="000000"/>
                <w:sz w:val="28"/>
                <w:szCs w:val="28"/>
              </w:rPr>
              <w:t>СПКк</w:t>
            </w:r>
            <w:proofErr w:type="spellEnd"/>
            <w:r>
              <w:rPr>
                <w:color w:val="000000"/>
                <w:sz w:val="28"/>
                <w:szCs w:val="28"/>
              </w:rPr>
              <w:t xml:space="preserve"> + ΣНПi</w:t>
            </w:r>
            <w:proofErr w:type="gramStart"/>
            <w:r>
              <w:rPr>
                <w:color w:val="000000"/>
                <w:sz w:val="28"/>
                <w:szCs w:val="28"/>
              </w:rPr>
              <w:t xml:space="preserve"> /К</w:t>
            </w:r>
            <w:proofErr w:type="gramEnd"/>
            <w:r>
              <w:rPr>
                <w:color w:val="000000"/>
                <w:sz w:val="28"/>
                <w:szCs w:val="28"/>
              </w:rPr>
              <w:t>/КН, где</w:t>
            </w:r>
          </w:p>
          <w:p w:rsidR="00AD0CB9" w:rsidRDefault="00AD0CB9" w:rsidP="00AD0CB9">
            <w:pPr>
              <w:spacing w:line="240" w:lineRule="auto"/>
              <w:ind w:firstLine="709"/>
              <w:jc w:val="both"/>
              <w:rPr>
                <w:color w:val="000000"/>
                <w:sz w:val="28"/>
                <w:szCs w:val="28"/>
              </w:rPr>
            </w:pPr>
            <w:proofErr w:type="spellStart"/>
            <w:r w:rsidRPr="00470031">
              <w:rPr>
                <w:color w:val="000000"/>
                <w:sz w:val="28"/>
                <w:szCs w:val="28"/>
              </w:rPr>
              <w:t>ИПКс</w:t>
            </w:r>
            <w:proofErr w:type="spellEnd"/>
            <w:r w:rsidRPr="00470031">
              <w:rPr>
                <w:color w:val="000000"/>
                <w:sz w:val="28"/>
                <w:szCs w:val="28"/>
              </w:rPr>
              <w:t xml:space="preserve"> - индивидуальный</w:t>
            </w:r>
            <w:r>
              <w:rPr>
                <w:color w:val="000000"/>
                <w:sz w:val="28"/>
                <w:szCs w:val="28"/>
              </w:rPr>
              <w:t xml:space="preserve"> пенсионный коэффициент за периоды до 1 января 2015 года;</w:t>
            </w:r>
          </w:p>
          <w:p w:rsidR="00AD0CB9" w:rsidRDefault="00AD0CB9" w:rsidP="00AD0CB9">
            <w:pPr>
              <w:spacing w:line="240" w:lineRule="auto"/>
              <w:ind w:firstLine="709"/>
              <w:jc w:val="both"/>
              <w:rPr>
                <w:color w:val="000000"/>
                <w:sz w:val="28"/>
                <w:szCs w:val="28"/>
              </w:rPr>
            </w:pPr>
            <w:proofErr w:type="gramStart"/>
            <w:r>
              <w:rPr>
                <w:color w:val="000000"/>
                <w:sz w:val="28"/>
                <w:szCs w:val="28"/>
              </w:rPr>
              <w:t>П</w:t>
            </w:r>
            <w:proofErr w:type="gramEnd"/>
            <w:r>
              <w:rPr>
                <w:color w:val="000000"/>
                <w:sz w:val="28"/>
                <w:szCs w:val="28"/>
              </w:rPr>
              <w:t xml:space="preserve"> — трудовая пенсия на 31 декабря 2014 года, исчисленная по нормам Закона от 17.12.2001 № 173-ФЗ (без учета накопительной части и фиксированного базового размера трудовой пенсии);  </w:t>
            </w:r>
          </w:p>
          <w:p w:rsidR="00AD0CB9" w:rsidRDefault="00AD0CB9" w:rsidP="00AD0CB9">
            <w:pPr>
              <w:spacing w:line="240" w:lineRule="auto"/>
              <w:ind w:firstLine="709"/>
              <w:jc w:val="both"/>
              <w:rPr>
                <w:color w:val="000000"/>
                <w:sz w:val="28"/>
                <w:szCs w:val="28"/>
              </w:rPr>
            </w:pPr>
            <w:proofErr w:type="spellStart"/>
            <w:r>
              <w:rPr>
                <w:color w:val="000000"/>
                <w:sz w:val="28"/>
                <w:szCs w:val="28"/>
              </w:rPr>
              <w:t>СПКк</w:t>
            </w:r>
            <w:proofErr w:type="spellEnd"/>
            <w:r>
              <w:rPr>
                <w:color w:val="000000"/>
                <w:sz w:val="28"/>
                <w:szCs w:val="28"/>
              </w:rPr>
              <w:t xml:space="preserve"> — стоимость пенсионного коэффициента на 1 января 2015 года;</w:t>
            </w:r>
          </w:p>
          <w:p w:rsidR="00AD0CB9" w:rsidRDefault="00AD0CB9" w:rsidP="00AD0CB9">
            <w:pPr>
              <w:spacing w:line="240" w:lineRule="auto"/>
              <w:ind w:firstLine="709"/>
              <w:jc w:val="both"/>
              <w:rPr>
                <w:color w:val="000000"/>
                <w:sz w:val="28"/>
                <w:szCs w:val="28"/>
              </w:rPr>
            </w:pPr>
            <w:r>
              <w:rPr>
                <w:color w:val="000000"/>
                <w:sz w:val="28"/>
                <w:szCs w:val="28"/>
              </w:rPr>
              <w:t>ΣНП</w:t>
            </w:r>
            <w:proofErr w:type="gramStart"/>
            <w:r>
              <w:rPr>
                <w:color w:val="000000"/>
                <w:sz w:val="28"/>
                <w:szCs w:val="28"/>
              </w:rPr>
              <w:t>i</w:t>
            </w:r>
            <w:proofErr w:type="gramEnd"/>
            <w:r>
              <w:rPr>
                <w:color w:val="000000"/>
                <w:sz w:val="28"/>
                <w:szCs w:val="28"/>
              </w:rPr>
              <w:t xml:space="preserve"> — сумма коэффициентов за «</w:t>
            </w:r>
            <w:proofErr w:type="spellStart"/>
            <w:r>
              <w:rPr>
                <w:color w:val="000000"/>
                <w:sz w:val="28"/>
                <w:szCs w:val="28"/>
              </w:rPr>
              <w:t>нестраховые</w:t>
            </w:r>
            <w:proofErr w:type="spellEnd"/>
            <w:r>
              <w:rPr>
                <w:color w:val="000000"/>
                <w:sz w:val="28"/>
                <w:szCs w:val="28"/>
              </w:rPr>
              <w:t>» периоды;</w:t>
            </w:r>
          </w:p>
          <w:p w:rsidR="00AD0CB9" w:rsidRDefault="00AD0CB9" w:rsidP="00AD0CB9">
            <w:pPr>
              <w:spacing w:line="240" w:lineRule="auto"/>
              <w:ind w:firstLine="709"/>
              <w:jc w:val="both"/>
              <w:rPr>
                <w:color w:val="000000"/>
                <w:sz w:val="28"/>
                <w:szCs w:val="28"/>
              </w:rPr>
            </w:pPr>
            <w:proofErr w:type="gramStart"/>
            <w:r>
              <w:rPr>
                <w:color w:val="000000"/>
                <w:sz w:val="28"/>
                <w:szCs w:val="28"/>
              </w:rPr>
              <w:t>К</w:t>
            </w:r>
            <w:proofErr w:type="gramEnd"/>
            <w:r>
              <w:rPr>
                <w:color w:val="000000"/>
                <w:sz w:val="28"/>
                <w:szCs w:val="28"/>
              </w:rPr>
              <w:t xml:space="preserve"> — </w:t>
            </w:r>
            <w:proofErr w:type="gramStart"/>
            <w:r>
              <w:rPr>
                <w:color w:val="000000"/>
                <w:sz w:val="28"/>
                <w:szCs w:val="28"/>
              </w:rPr>
              <w:t>отношение</w:t>
            </w:r>
            <w:proofErr w:type="gramEnd"/>
            <w:r>
              <w:rPr>
                <w:color w:val="000000"/>
                <w:sz w:val="28"/>
                <w:szCs w:val="28"/>
              </w:rPr>
              <w:t xml:space="preserve"> нормативной продолжительности страхового стажа инвалида (умершего кормильца) к 180 месяцам;</w:t>
            </w:r>
          </w:p>
          <w:p w:rsidR="00AD0CB9" w:rsidRDefault="00AD0CB9" w:rsidP="00AD0CB9">
            <w:pPr>
              <w:spacing w:line="240" w:lineRule="auto"/>
              <w:ind w:firstLine="709"/>
              <w:jc w:val="both"/>
              <w:rPr>
                <w:color w:val="000000"/>
                <w:sz w:val="28"/>
                <w:szCs w:val="28"/>
              </w:rPr>
            </w:pPr>
            <w:r>
              <w:rPr>
                <w:color w:val="000000"/>
                <w:sz w:val="28"/>
                <w:szCs w:val="28"/>
              </w:rPr>
              <w:t xml:space="preserve">КН — количество нетрудоспособных членов семьи </w:t>
            </w:r>
          </w:p>
        </w:tc>
      </w:tr>
    </w:tbl>
    <w:p w:rsidR="00AD0CB9" w:rsidRDefault="00AD0CB9" w:rsidP="00AD0CB9">
      <w:pPr>
        <w:spacing w:line="240" w:lineRule="auto"/>
        <w:ind w:firstLine="709"/>
        <w:jc w:val="both"/>
      </w:pPr>
    </w:p>
    <w:p w:rsidR="00AD0CB9" w:rsidRDefault="00513BA6" w:rsidP="00AD0CB9">
      <w:pPr>
        <w:spacing w:line="240" w:lineRule="auto"/>
        <w:jc w:val="both"/>
        <w:rPr>
          <w:color w:val="000000"/>
          <w:sz w:val="28"/>
          <w:szCs w:val="28"/>
        </w:rPr>
      </w:pPr>
      <w:proofErr w:type="gramStart"/>
      <w:r>
        <w:rPr>
          <w:color w:val="000000"/>
          <w:sz w:val="28"/>
          <w:szCs w:val="28"/>
        </w:rPr>
        <w:t>С</w:t>
      </w:r>
      <w:r w:rsidR="00AD0CB9">
        <w:rPr>
          <w:color w:val="000000"/>
          <w:sz w:val="28"/>
          <w:szCs w:val="28"/>
        </w:rPr>
        <w:t xml:space="preserve">огласно данной формуле </w:t>
      </w:r>
      <w:proofErr w:type="spellStart"/>
      <w:r w:rsidR="00AD0CB9">
        <w:rPr>
          <w:color w:val="000000"/>
          <w:sz w:val="28"/>
          <w:szCs w:val="28"/>
        </w:rPr>
        <w:t>ИПКс</w:t>
      </w:r>
      <w:proofErr w:type="spellEnd"/>
      <w:r w:rsidR="00AD0CB9">
        <w:rPr>
          <w:color w:val="000000"/>
          <w:sz w:val="28"/>
          <w:szCs w:val="28"/>
        </w:rPr>
        <w:t xml:space="preserve"> исчисляется путем деления размера установленной по состоянию на 31 декабря 2014 года страховой части трудовой пенсии по старости, трудовой пенсии по инвалидности или трудовой пенсии по случаю потери кормильца (без учета фиксированного базового размера и накопительной части трудовой пенсии) (П) на стоимость одного пенсионного коэффициента (</w:t>
      </w:r>
      <w:proofErr w:type="spellStart"/>
      <w:r w:rsidR="00AD0CB9">
        <w:rPr>
          <w:color w:val="000000"/>
          <w:sz w:val="28"/>
          <w:szCs w:val="28"/>
        </w:rPr>
        <w:t>СПКк</w:t>
      </w:r>
      <w:proofErr w:type="spellEnd"/>
      <w:r w:rsidR="00AD0CB9">
        <w:rPr>
          <w:color w:val="000000"/>
          <w:sz w:val="28"/>
          <w:szCs w:val="28"/>
        </w:rPr>
        <w:t>) по состоянию на 1 января 2015 года (64 рубля 10</w:t>
      </w:r>
      <w:proofErr w:type="gramEnd"/>
      <w:r w:rsidR="00AD0CB9">
        <w:rPr>
          <w:color w:val="000000"/>
          <w:sz w:val="28"/>
          <w:szCs w:val="28"/>
        </w:rPr>
        <w:t xml:space="preserve"> копеек). При назначении страховой пенсии по случаю потери кормильца детям, потерявшим обоих родителей, или детям умершей одинокой матери </w:t>
      </w:r>
      <w:proofErr w:type="spellStart"/>
      <w:r w:rsidR="00AD0CB9">
        <w:rPr>
          <w:color w:val="000000"/>
          <w:sz w:val="28"/>
          <w:szCs w:val="28"/>
        </w:rPr>
        <w:t>ИПКс</w:t>
      </w:r>
      <w:proofErr w:type="spellEnd"/>
      <w:r w:rsidR="00AD0CB9">
        <w:rPr>
          <w:color w:val="000000"/>
          <w:sz w:val="28"/>
          <w:szCs w:val="28"/>
        </w:rPr>
        <w:t xml:space="preserve"> каждого умершего родителя или </w:t>
      </w:r>
      <w:proofErr w:type="spellStart"/>
      <w:r w:rsidR="00AD0CB9">
        <w:rPr>
          <w:color w:val="000000"/>
          <w:sz w:val="28"/>
          <w:szCs w:val="28"/>
        </w:rPr>
        <w:t>ИПКс</w:t>
      </w:r>
      <w:proofErr w:type="spellEnd"/>
      <w:r w:rsidR="00AD0CB9">
        <w:rPr>
          <w:color w:val="000000"/>
          <w:sz w:val="28"/>
          <w:szCs w:val="28"/>
        </w:rPr>
        <w:t xml:space="preserve"> умершей одинокой матери определяется исходя из размера трудовой пенсии по случаю потери кормильца (без учета фиксированного базового размера указанной пенсии), исчисленного по формуле</w:t>
      </w:r>
      <w:r w:rsidR="00AD0CB9" w:rsidRPr="002E60DA">
        <w:rPr>
          <w:sz w:val="28"/>
          <w:szCs w:val="28"/>
        </w:rPr>
        <w:t xml:space="preserve">, предусмотренной </w:t>
      </w:r>
      <w:hyperlink r:id="rId4" w:history="1">
        <w:r w:rsidR="00AD0CB9" w:rsidRPr="002E60DA">
          <w:rPr>
            <w:rStyle w:val="a3"/>
            <w:sz w:val="28"/>
            <w:szCs w:val="28"/>
          </w:rPr>
          <w:t>пунктом 1</w:t>
        </w:r>
      </w:hyperlink>
      <w:r w:rsidR="00AD0CB9" w:rsidRPr="002E60DA">
        <w:rPr>
          <w:sz w:val="28"/>
          <w:szCs w:val="28"/>
        </w:rPr>
        <w:t xml:space="preserve"> или </w:t>
      </w:r>
      <w:hyperlink r:id="rId5" w:history="1">
        <w:r w:rsidR="00AD0CB9" w:rsidRPr="002E60DA">
          <w:rPr>
            <w:rStyle w:val="a3"/>
            <w:sz w:val="28"/>
            <w:szCs w:val="28"/>
          </w:rPr>
          <w:t>4 статьи 16</w:t>
        </w:r>
      </w:hyperlink>
      <w:r w:rsidR="00AD0CB9">
        <w:rPr>
          <w:color w:val="000000"/>
          <w:sz w:val="28"/>
          <w:szCs w:val="28"/>
        </w:rPr>
        <w:t xml:space="preserve"> Закона от 17.12.2001 № 173-ФЗ</w:t>
      </w:r>
      <w:r>
        <w:rPr>
          <w:color w:val="000000"/>
          <w:sz w:val="28"/>
          <w:szCs w:val="28"/>
        </w:rPr>
        <w:t>.</w:t>
      </w:r>
    </w:p>
    <w:p w:rsidR="00AD0CB9" w:rsidRDefault="00AD0CB9" w:rsidP="00AD0CB9">
      <w:pPr>
        <w:spacing w:line="240" w:lineRule="auto"/>
        <w:ind w:firstLine="709"/>
        <w:jc w:val="both"/>
        <w:rPr>
          <w:color w:val="000000"/>
          <w:sz w:val="28"/>
          <w:szCs w:val="28"/>
        </w:rPr>
      </w:pPr>
      <w:r>
        <w:rPr>
          <w:color w:val="000000"/>
          <w:sz w:val="28"/>
          <w:szCs w:val="28"/>
        </w:rPr>
        <w:t>Величина индивидуального коэффициента  за каждый календарный год после 1 января 2015 года определяется по формуле:</w:t>
      </w:r>
    </w:p>
    <w:tbl>
      <w:tblPr>
        <w:tblW w:w="0" w:type="auto"/>
        <w:tblInd w:w="55" w:type="dxa"/>
        <w:tblLayout w:type="fixed"/>
        <w:tblCellMar>
          <w:top w:w="55" w:type="dxa"/>
          <w:left w:w="55" w:type="dxa"/>
          <w:bottom w:w="55" w:type="dxa"/>
          <w:right w:w="55" w:type="dxa"/>
        </w:tblCellMar>
        <w:tblLook w:val="0000"/>
      </w:tblPr>
      <w:tblGrid>
        <w:gridCol w:w="9515"/>
      </w:tblGrid>
      <w:tr w:rsidR="00AD0CB9" w:rsidTr="00C818C9">
        <w:tc>
          <w:tcPr>
            <w:tcW w:w="9515" w:type="dxa"/>
            <w:tcBorders>
              <w:top w:val="single" w:sz="8" w:space="0" w:color="000000"/>
              <w:left w:val="single" w:sz="8" w:space="0" w:color="000000"/>
              <w:bottom w:val="single" w:sz="8" w:space="0" w:color="000000"/>
              <w:right w:val="single" w:sz="8" w:space="0" w:color="000000"/>
            </w:tcBorders>
            <w:shd w:val="clear" w:color="auto" w:fill="auto"/>
          </w:tcPr>
          <w:p w:rsidR="00AD0CB9" w:rsidRDefault="00AD0CB9" w:rsidP="00AD0CB9">
            <w:pPr>
              <w:snapToGrid w:val="0"/>
              <w:spacing w:line="240" w:lineRule="auto"/>
              <w:ind w:firstLine="709"/>
              <w:jc w:val="both"/>
              <w:rPr>
                <w:color w:val="000000"/>
                <w:sz w:val="28"/>
                <w:szCs w:val="28"/>
              </w:rPr>
            </w:pPr>
            <w:proofErr w:type="spellStart"/>
            <w:r>
              <w:rPr>
                <w:color w:val="000000"/>
                <w:sz w:val="28"/>
                <w:szCs w:val="28"/>
              </w:rPr>
              <w:lastRenderedPageBreak/>
              <w:t>ИПК</w:t>
            </w:r>
            <w:proofErr w:type="gramStart"/>
            <w:r>
              <w:rPr>
                <w:color w:val="000000"/>
                <w:sz w:val="28"/>
                <w:szCs w:val="28"/>
              </w:rPr>
              <w:t>i</w:t>
            </w:r>
            <w:proofErr w:type="spellEnd"/>
            <w:proofErr w:type="gramEnd"/>
            <w:r>
              <w:rPr>
                <w:color w:val="000000"/>
                <w:sz w:val="28"/>
                <w:szCs w:val="28"/>
              </w:rPr>
              <w:t xml:space="preserve"> = (</w:t>
            </w:r>
            <w:proofErr w:type="spellStart"/>
            <w:r>
              <w:rPr>
                <w:color w:val="000000"/>
                <w:sz w:val="28"/>
                <w:szCs w:val="28"/>
              </w:rPr>
              <w:t>СВгодi</w:t>
            </w:r>
            <w:proofErr w:type="spellEnd"/>
            <w:r>
              <w:rPr>
                <w:color w:val="000000"/>
                <w:sz w:val="28"/>
                <w:szCs w:val="28"/>
              </w:rPr>
              <w:t xml:space="preserve"> / </w:t>
            </w:r>
            <w:proofErr w:type="spellStart"/>
            <w:r>
              <w:rPr>
                <w:color w:val="000000"/>
                <w:sz w:val="28"/>
                <w:szCs w:val="28"/>
              </w:rPr>
              <w:t>НСВгодi</w:t>
            </w:r>
            <w:proofErr w:type="spellEnd"/>
            <w:r>
              <w:rPr>
                <w:color w:val="000000"/>
                <w:sz w:val="28"/>
                <w:szCs w:val="28"/>
              </w:rPr>
              <w:t xml:space="preserve">) </w:t>
            </w:r>
            <w:proofErr w:type="spellStart"/>
            <w:r>
              <w:rPr>
                <w:color w:val="000000"/>
                <w:sz w:val="28"/>
                <w:szCs w:val="28"/>
              </w:rPr>
              <w:t>х</w:t>
            </w:r>
            <w:proofErr w:type="spellEnd"/>
            <w:r>
              <w:rPr>
                <w:color w:val="000000"/>
                <w:sz w:val="28"/>
                <w:szCs w:val="28"/>
              </w:rPr>
              <w:t xml:space="preserve"> 10, где</w:t>
            </w:r>
          </w:p>
          <w:p w:rsidR="00AD0CB9" w:rsidRDefault="00AD0CB9" w:rsidP="00AD0CB9">
            <w:pPr>
              <w:spacing w:line="240" w:lineRule="auto"/>
              <w:ind w:firstLine="709"/>
              <w:jc w:val="both"/>
              <w:rPr>
                <w:color w:val="000000"/>
                <w:sz w:val="28"/>
                <w:szCs w:val="28"/>
              </w:rPr>
            </w:pPr>
            <w:proofErr w:type="spellStart"/>
            <w:r>
              <w:rPr>
                <w:color w:val="000000"/>
                <w:sz w:val="28"/>
                <w:szCs w:val="28"/>
              </w:rPr>
              <w:t>ИПК</w:t>
            </w:r>
            <w:proofErr w:type="gramStart"/>
            <w:r>
              <w:rPr>
                <w:color w:val="000000"/>
                <w:sz w:val="28"/>
                <w:szCs w:val="28"/>
              </w:rPr>
              <w:t>i</w:t>
            </w:r>
            <w:proofErr w:type="spellEnd"/>
            <w:proofErr w:type="gramEnd"/>
            <w:r>
              <w:rPr>
                <w:color w:val="000000"/>
                <w:sz w:val="28"/>
                <w:szCs w:val="28"/>
              </w:rPr>
              <w:t xml:space="preserve"> — индивидуальный пенсионный коэффициент  за соответствующий календарный год после 1 января 2015 года;</w:t>
            </w:r>
          </w:p>
          <w:p w:rsidR="00AD0CB9" w:rsidRDefault="00AD0CB9" w:rsidP="00AD0CB9">
            <w:pPr>
              <w:spacing w:line="240" w:lineRule="auto"/>
              <w:ind w:firstLine="709"/>
              <w:jc w:val="both"/>
              <w:rPr>
                <w:color w:val="000000"/>
                <w:sz w:val="28"/>
                <w:szCs w:val="28"/>
              </w:rPr>
            </w:pPr>
            <w:r>
              <w:rPr>
                <w:color w:val="000000"/>
                <w:sz w:val="28"/>
                <w:szCs w:val="28"/>
              </w:rPr>
              <w:t xml:space="preserve"> </w:t>
            </w:r>
            <w:proofErr w:type="spellStart"/>
            <w:r>
              <w:rPr>
                <w:color w:val="000000"/>
                <w:sz w:val="28"/>
                <w:szCs w:val="28"/>
              </w:rPr>
              <w:t>СВгод</w:t>
            </w:r>
            <w:proofErr w:type="gramStart"/>
            <w:r>
              <w:rPr>
                <w:color w:val="000000"/>
                <w:sz w:val="28"/>
                <w:szCs w:val="28"/>
              </w:rPr>
              <w:t>i</w:t>
            </w:r>
            <w:proofErr w:type="spellEnd"/>
            <w:proofErr w:type="gramEnd"/>
            <w:r>
              <w:rPr>
                <w:color w:val="000000"/>
                <w:sz w:val="28"/>
                <w:szCs w:val="28"/>
              </w:rPr>
              <w:t xml:space="preserve"> - сумма начисленных и уплаченных страховых взносов на страховую пенсию в соответствующем календарном году после 1 января 2015 года;</w:t>
            </w:r>
          </w:p>
          <w:p w:rsidR="00AD0CB9" w:rsidRDefault="00AD0CB9" w:rsidP="00AD0CB9">
            <w:pPr>
              <w:spacing w:line="240" w:lineRule="auto"/>
              <w:ind w:firstLine="709"/>
              <w:jc w:val="both"/>
              <w:rPr>
                <w:color w:val="000000"/>
                <w:sz w:val="28"/>
                <w:szCs w:val="28"/>
              </w:rPr>
            </w:pPr>
            <w:proofErr w:type="spellStart"/>
            <w:r>
              <w:rPr>
                <w:color w:val="000000"/>
                <w:sz w:val="28"/>
                <w:szCs w:val="28"/>
              </w:rPr>
              <w:t>НСВгод</w:t>
            </w:r>
            <w:proofErr w:type="gramStart"/>
            <w:r>
              <w:rPr>
                <w:color w:val="000000"/>
                <w:sz w:val="28"/>
                <w:szCs w:val="28"/>
              </w:rPr>
              <w:t>i</w:t>
            </w:r>
            <w:proofErr w:type="spellEnd"/>
            <w:proofErr w:type="gramEnd"/>
            <w:r>
              <w:rPr>
                <w:color w:val="000000"/>
                <w:sz w:val="28"/>
                <w:szCs w:val="28"/>
              </w:rPr>
              <w:t xml:space="preserve"> - нормативный размер страховых  взносов на страховую пенсию  в том же календарном году.</w:t>
            </w:r>
          </w:p>
        </w:tc>
      </w:tr>
    </w:tbl>
    <w:p w:rsidR="00AD0CB9" w:rsidRPr="00AD0CB9" w:rsidRDefault="00513BA6" w:rsidP="00AD0CB9">
      <w:pPr>
        <w:spacing w:line="240" w:lineRule="auto"/>
        <w:ind w:firstLine="709"/>
        <w:jc w:val="both"/>
        <w:rPr>
          <w:sz w:val="28"/>
          <w:szCs w:val="28"/>
        </w:rPr>
      </w:pPr>
      <w:r>
        <w:rPr>
          <w:sz w:val="28"/>
          <w:szCs w:val="28"/>
        </w:rPr>
        <w:t>И</w:t>
      </w:r>
      <w:r w:rsidR="00AD0CB9" w:rsidRPr="00AD0CB9">
        <w:rPr>
          <w:sz w:val="28"/>
          <w:szCs w:val="28"/>
        </w:rPr>
        <w:t>ндивидуальный пенсионный коэффициент за конкретный календарный год, начиная с 1 января 2015 года, определяется как увеличенное в 10 раз отношение начисленных и уплаченных (для лиц, указанных в частях 3 и 7 статьи 13 Закона от  28.12.2013 № 400-ФЗ, -  уплаченных) в соответствующем году за работника страховых взносов на страховую пенсию к их нормативному  размеру</w:t>
      </w:r>
      <w:proofErr w:type="gramStart"/>
      <w:r w:rsidR="00AD0CB9" w:rsidRPr="00AD0CB9">
        <w:rPr>
          <w:sz w:val="28"/>
          <w:szCs w:val="28"/>
        </w:rPr>
        <w:t>.</w:t>
      </w:r>
      <w:proofErr w:type="gramEnd"/>
      <w:r w:rsidR="00AD0CB9" w:rsidRPr="00AD0CB9">
        <w:rPr>
          <w:sz w:val="28"/>
          <w:szCs w:val="28"/>
        </w:rPr>
        <w:t xml:space="preserve"> </w:t>
      </w:r>
      <w:r>
        <w:rPr>
          <w:sz w:val="28"/>
          <w:szCs w:val="28"/>
        </w:rPr>
        <w:t>Н</w:t>
      </w:r>
      <w:r w:rsidR="00AD0CB9" w:rsidRPr="00AD0CB9">
        <w:rPr>
          <w:sz w:val="28"/>
          <w:szCs w:val="28"/>
        </w:rPr>
        <w:t xml:space="preserve">ормативный размер страховых взносов на страховую пенсию определяется  как произведение максимального тарифа отчислений на страховую пенсию  на предельную величину базы для начисления страховых взносов в ПФР в том же календарном году. </w:t>
      </w:r>
    </w:p>
    <w:p w:rsidR="00AD0CB9" w:rsidRDefault="00AD0CB9" w:rsidP="00AD0CB9">
      <w:pPr>
        <w:spacing w:line="240" w:lineRule="auto"/>
        <w:ind w:firstLine="709"/>
        <w:jc w:val="both"/>
        <w:rPr>
          <w:color w:val="000000"/>
          <w:sz w:val="28"/>
          <w:szCs w:val="28"/>
        </w:rPr>
      </w:pPr>
      <w:r>
        <w:rPr>
          <w:color w:val="000000"/>
          <w:sz w:val="28"/>
          <w:szCs w:val="28"/>
        </w:rPr>
        <w:t>Законом предусмотрено  ограничение индивидуального пенсионного коэффициента, определяемое за каждый календарный год, максимальной величиной:</w:t>
      </w:r>
    </w:p>
    <w:tbl>
      <w:tblPr>
        <w:tblW w:w="9547" w:type="dxa"/>
        <w:tblInd w:w="55" w:type="dxa"/>
        <w:tblLayout w:type="fixed"/>
        <w:tblCellMar>
          <w:top w:w="55" w:type="dxa"/>
          <w:left w:w="55" w:type="dxa"/>
          <w:bottom w:w="55" w:type="dxa"/>
          <w:right w:w="55" w:type="dxa"/>
        </w:tblCellMar>
        <w:tblLook w:val="0000"/>
      </w:tblPr>
      <w:tblGrid>
        <w:gridCol w:w="9547"/>
      </w:tblGrid>
      <w:tr w:rsidR="00AD0CB9" w:rsidTr="00C818C9">
        <w:tc>
          <w:tcPr>
            <w:tcW w:w="9547" w:type="dxa"/>
            <w:tcBorders>
              <w:top w:val="single" w:sz="8" w:space="0" w:color="000000"/>
              <w:left w:val="single" w:sz="8" w:space="0" w:color="000000"/>
              <w:bottom w:val="single" w:sz="8" w:space="0" w:color="000000"/>
              <w:right w:val="single" w:sz="8" w:space="0" w:color="000000"/>
            </w:tcBorders>
            <w:shd w:val="clear" w:color="auto" w:fill="auto"/>
          </w:tcPr>
          <w:p w:rsidR="00AD0CB9" w:rsidRDefault="00AD0CB9" w:rsidP="00AD0CB9">
            <w:pPr>
              <w:snapToGrid w:val="0"/>
              <w:spacing w:line="240" w:lineRule="auto"/>
              <w:ind w:firstLine="709"/>
              <w:jc w:val="both"/>
              <w:rPr>
                <w:color w:val="000000"/>
                <w:sz w:val="28"/>
                <w:szCs w:val="28"/>
              </w:rPr>
            </w:pPr>
            <w:r>
              <w:rPr>
                <w:color w:val="000000"/>
                <w:sz w:val="28"/>
                <w:szCs w:val="28"/>
              </w:rPr>
              <w:t xml:space="preserve"> - не свыше 10 - для застрахованных лиц, у которых в соответствующем году не формируются пенсионные накопления;</w:t>
            </w:r>
          </w:p>
          <w:p w:rsidR="00AD0CB9" w:rsidRDefault="00AD0CB9" w:rsidP="00AD0CB9">
            <w:pPr>
              <w:spacing w:line="240" w:lineRule="auto"/>
              <w:ind w:firstLine="709"/>
              <w:jc w:val="both"/>
              <w:rPr>
                <w:color w:val="000000"/>
                <w:sz w:val="28"/>
                <w:szCs w:val="28"/>
              </w:rPr>
            </w:pPr>
            <w:r>
              <w:rPr>
                <w:color w:val="000000"/>
                <w:sz w:val="28"/>
                <w:szCs w:val="28"/>
              </w:rPr>
              <w:t xml:space="preserve"> - не свыше 6,25 - для застрахованных лиц, у которых в соответствующем году формируются  пенсионные накопления в связи с уплатой обязательных платежей на накопительную пенсию.</w:t>
            </w:r>
          </w:p>
        </w:tc>
      </w:tr>
    </w:tbl>
    <w:p w:rsidR="00AD0CB9" w:rsidRPr="00705D7B" w:rsidRDefault="00AD0CB9" w:rsidP="00AD0CB9">
      <w:pPr>
        <w:spacing w:line="240" w:lineRule="auto"/>
        <w:jc w:val="both"/>
        <w:rPr>
          <w:b/>
          <w:bCs/>
          <w:sz w:val="28"/>
          <w:szCs w:val="28"/>
        </w:rPr>
      </w:pPr>
      <w:r w:rsidRPr="00705D7B">
        <w:rPr>
          <w:b/>
          <w:bCs/>
          <w:sz w:val="28"/>
          <w:szCs w:val="28"/>
        </w:rPr>
        <w:t xml:space="preserve">Максимальное значение </w:t>
      </w:r>
      <w:proofErr w:type="gramStart"/>
      <w:r w:rsidRPr="00705D7B">
        <w:rPr>
          <w:b/>
          <w:bCs/>
          <w:sz w:val="28"/>
          <w:szCs w:val="28"/>
        </w:rPr>
        <w:t>индивидуального</w:t>
      </w:r>
      <w:proofErr w:type="gramEnd"/>
      <w:r w:rsidRPr="00705D7B">
        <w:rPr>
          <w:b/>
          <w:bCs/>
          <w:sz w:val="28"/>
          <w:szCs w:val="28"/>
        </w:rPr>
        <w:t xml:space="preserve"> </w:t>
      </w:r>
    </w:p>
    <w:p w:rsidR="00AD0CB9" w:rsidRPr="00705D7B" w:rsidRDefault="00AD0CB9" w:rsidP="00AD0CB9">
      <w:pPr>
        <w:spacing w:line="240" w:lineRule="auto"/>
        <w:jc w:val="both"/>
        <w:rPr>
          <w:b/>
          <w:bCs/>
          <w:sz w:val="28"/>
          <w:szCs w:val="28"/>
        </w:rPr>
      </w:pPr>
      <w:r w:rsidRPr="00705D7B">
        <w:rPr>
          <w:b/>
          <w:bCs/>
          <w:sz w:val="28"/>
          <w:szCs w:val="28"/>
        </w:rPr>
        <w:t>пенсионного коэффициента</w:t>
      </w:r>
    </w:p>
    <w:tbl>
      <w:tblPr>
        <w:tblW w:w="0" w:type="auto"/>
        <w:tblBorders>
          <w:top w:val="single" w:sz="18" w:space="0" w:color="auto"/>
          <w:bottom w:val="single" w:sz="18" w:space="0" w:color="auto"/>
        </w:tblBorders>
        <w:tblLook w:val="00A0"/>
      </w:tblPr>
      <w:tblGrid>
        <w:gridCol w:w="1990"/>
        <w:gridCol w:w="3790"/>
        <w:gridCol w:w="3791"/>
      </w:tblGrid>
      <w:tr w:rsidR="00AD0CB9" w:rsidRPr="00AD0CB9" w:rsidTr="00C818C9">
        <w:trPr>
          <w:trHeight w:val="1"/>
        </w:trPr>
        <w:tc>
          <w:tcPr>
            <w:tcW w:w="1990" w:type="dxa"/>
            <w:tcBorders>
              <w:top w:val="single" w:sz="18" w:space="0" w:color="auto"/>
              <w:bottom w:val="single" w:sz="18" w:space="0" w:color="auto"/>
            </w:tcBorders>
            <w:shd w:val="clear" w:color="auto" w:fill="70AD47"/>
          </w:tcPr>
          <w:p w:rsidR="00AD0CB9" w:rsidRPr="00AD0CB9" w:rsidRDefault="00AD0CB9" w:rsidP="00AD0CB9">
            <w:pPr>
              <w:spacing w:line="240" w:lineRule="auto"/>
              <w:jc w:val="both"/>
              <w:rPr>
                <w:b/>
                <w:bCs/>
                <w:color w:val="0070C0"/>
                <w:sz w:val="28"/>
                <w:szCs w:val="28"/>
              </w:rPr>
            </w:pPr>
          </w:p>
          <w:p w:rsidR="00AD0CB9" w:rsidRPr="00AD0CB9" w:rsidRDefault="00AD0CB9" w:rsidP="00AD0CB9">
            <w:pPr>
              <w:spacing w:line="240" w:lineRule="auto"/>
              <w:jc w:val="both"/>
              <w:rPr>
                <w:b/>
                <w:bCs/>
                <w:color w:val="0070C0"/>
                <w:sz w:val="28"/>
                <w:szCs w:val="28"/>
              </w:rPr>
            </w:pPr>
          </w:p>
          <w:p w:rsidR="00AD0CB9" w:rsidRPr="00AD0CB9" w:rsidRDefault="00AD0CB9" w:rsidP="00AD0CB9">
            <w:pPr>
              <w:spacing w:line="240" w:lineRule="auto"/>
              <w:jc w:val="both"/>
              <w:rPr>
                <w:rFonts w:ascii="Calibri" w:hAnsi="Calibri"/>
                <w:b/>
                <w:bCs/>
                <w:color w:val="0070C0"/>
                <w:sz w:val="21"/>
                <w:szCs w:val="21"/>
              </w:rPr>
            </w:pPr>
            <w:r w:rsidRPr="00AD0CB9">
              <w:rPr>
                <w:b/>
                <w:bCs/>
                <w:color w:val="0070C0"/>
                <w:sz w:val="28"/>
                <w:szCs w:val="28"/>
              </w:rPr>
              <w:t>Год</w:t>
            </w:r>
          </w:p>
        </w:tc>
        <w:tc>
          <w:tcPr>
            <w:tcW w:w="3790" w:type="dxa"/>
            <w:tcBorders>
              <w:top w:val="single" w:sz="18" w:space="0" w:color="auto"/>
              <w:left w:val="nil"/>
              <w:bottom w:val="single" w:sz="18" w:space="0" w:color="auto"/>
              <w:right w:val="nil"/>
            </w:tcBorders>
            <w:shd w:val="clear" w:color="auto" w:fill="70AD47"/>
          </w:tcPr>
          <w:p w:rsidR="00AD0CB9" w:rsidRPr="00AD0CB9" w:rsidRDefault="00AD0CB9" w:rsidP="00AD0CB9">
            <w:pPr>
              <w:spacing w:line="240" w:lineRule="auto"/>
              <w:jc w:val="both"/>
              <w:rPr>
                <w:rFonts w:ascii="Calibri" w:hAnsi="Calibri"/>
                <w:b/>
                <w:bCs/>
                <w:color w:val="0070C0"/>
                <w:sz w:val="21"/>
                <w:szCs w:val="21"/>
              </w:rPr>
            </w:pPr>
            <w:r w:rsidRPr="00AD0CB9">
              <w:rPr>
                <w:b/>
                <w:bCs/>
                <w:color w:val="0070C0"/>
                <w:sz w:val="28"/>
                <w:szCs w:val="28"/>
              </w:rPr>
              <w:t>Для застрахованных лиц, за которых страховые взносы на формирование накопитель</w:t>
            </w:r>
            <w:r w:rsidRPr="00AD0CB9">
              <w:rPr>
                <w:b/>
                <w:bCs/>
                <w:color w:val="0070C0"/>
                <w:sz w:val="28"/>
                <w:szCs w:val="28"/>
              </w:rPr>
              <w:softHyphen/>
              <w:t>ной пенсии не начисляются и не уплачиваются</w:t>
            </w:r>
          </w:p>
        </w:tc>
        <w:tc>
          <w:tcPr>
            <w:tcW w:w="3791" w:type="dxa"/>
            <w:tcBorders>
              <w:top w:val="single" w:sz="18" w:space="0" w:color="auto"/>
              <w:bottom w:val="single" w:sz="18" w:space="0" w:color="auto"/>
            </w:tcBorders>
            <w:shd w:val="clear" w:color="auto" w:fill="70AD47"/>
          </w:tcPr>
          <w:p w:rsidR="00AD0CB9" w:rsidRPr="00AD0CB9" w:rsidRDefault="00AD0CB9" w:rsidP="00AD0CB9">
            <w:pPr>
              <w:spacing w:line="240" w:lineRule="auto"/>
              <w:jc w:val="both"/>
              <w:rPr>
                <w:rFonts w:ascii="Calibri" w:hAnsi="Calibri"/>
                <w:b/>
                <w:bCs/>
                <w:color w:val="0070C0"/>
                <w:sz w:val="21"/>
                <w:szCs w:val="21"/>
              </w:rPr>
            </w:pPr>
            <w:r w:rsidRPr="00AD0CB9">
              <w:rPr>
                <w:b/>
                <w:bCs/>
                <w:color w:val="0070C0"/>
                <w:sz w:val="28"/>
                <w:szCs w:val="28"/>
              </w:rPr>
              <w:t>Для застрахованных лиц, за которых страховые взносы на формирование накопитель</w:t>
            </w:r>
            <w:r w:rsidRPr="00AD0CB9">
              <w:rPr>
                <w:b/>
                <w:bCs/>
                <w:color w:val="0070C0"/>
                <w:sz w:val="28"/>
                <w:szCs w:val="28"/>
              </w:rPr>
              <w:softHyphen/>
              <w:t>ной пенсии начисляются и уплачиваются</w:t>
            </w:r>
          </w:p>
        </w:tc>
      </w:tr>
      <w:tr w:rsidR="00AD0CB9" w:rsidRPr="00AD0CB9" w:rsidTr="00C818C9">
        <w:trPr>
          <w:trHeight w:val="1"/>
        </w:trPr>
        <w:tc>
          <w:tcPr>
            <w:tcW w:w="1990" w:type="dxa"/>
            <w:tcBorders>
              <w:top w:val="nil"/>
            </w:tcBorders>
            <w:shd w:val="clear" w:color="auto" w:fill="70AD47"/>
          </w:tcPr>
          <w:p w:rsidR="00AD0CB9" w:rsidRPr="00AD0CB9" w:rsidRDefault="00AD0CB9" w:rsidP="00AD0CB9">
            <w:pPr>
              <w:spacing w:line="240" w:lineRule="auto"/>
              <w:jc w:val="both"/>
              <w:rPr>
                <w:rFonts w:ascii="Calibri" w:hAnsi="Calibri"/>
                <w:b/>
                <w:bCs/>
                <w:color w:val="0070C0"/>
                <w:sz w:val="21"/>
                <w:szCs w:val="21"/>
              </w:rPr>
            </w:pPr>
            <w:r w:rsidRPr="00AD0CB9">
              <w:rPr>
                <w:b/>
                <w:bCs/>
                <w:color w:val="0070C0"/>
                <w:sz w:val="28"/>
                <w:szCs w:val="28"/>
              </w:rPr>
              <w:t>2015</w:t>
            </w:r>
          </w:p>
        </w:tc>
        <w:tc>
          <w:tcPr>
            <w:tcW w:w="3790" w:type="dxa"/>
            <w:tcBorders>
              <w:bottom w:val="nil"/>
            </w:tcBorders>
            <w:shd w:val="clear" w:color="auto" w:fill="D8D8D8"/>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7,39</w:t>
            </w:r>
          </w:p>
        </w:tc>
        <w:tc>
          <w:tcPr>
            <w:tcW w:w="3791" w:type="dxa"/>
            <w:shd w:val="clear" w:color="auto" w:fill="D8D8D8"/>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4,62</w:t>
            </w:r>
          </w:p>
        </w:tc>
      </w:tr>
      <w:tr w:rsidR="00AD0CB9" w:rsidRPr="00AD0CB9" w:rsidTr="00C818C9">
        <w:trPr>
          <w:trHeight w:val="1"/>
        </w:trPr>
        <w:tc>
          <w:tcPr>
            <w:tcW w:w="1990" w:type="dxa"/>
            <w:shd w:val="clear" w:color="auto" w:fill="70AD47"/>
          </w:tcPr>
          <w:p w:rsidR="00AD0CB9" w:rsidRPr="00AD0CB9" w:rsidRDefault="00AD0CB9" w:rsidP="00AD0CB9">
            <w:pPr>
              <w:spacing w:line="240" w:lineRule="auto"/>
              <w:jc w:val="both"/>
              <w:rPr>
                <w:rFonts w:ascii="Calibri" w:hAnsi="Calibri"/>
                <w:b/>
                <w:bCs/>
                <w:color w:val="0070C0"/>
                <w:sz w:val="21"/>
                <w:szCs w:val="21"/>
              </w:rPr>
            </w:pPr>
            <w:r w:rsidRPr="00AD0CB9">
              <w:rPr>
                <w:b/>
                <w:bCs/>
                <w:color w:val="0070C0"/>
                <w:sz w:val="28"/>
                <w:szCs w:val="28"/>
              </w:rPr>
              <w:t>2016</w:t>
            </w:r>
          </w:p>
        </w:tc>
        <w:tc>
          <w:tcPr>
            <w:tcW w:w="3790" w:type="dxa"/>
            <w:tcBorders>
              <w:bottom w:val="nil"/>
            </w:tcBorders>
            <w:shd w:val="clear" w:color="auto" w:fill="D8D8D8"/>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7,83</w:t>
            </w:r>
          </w:p>
        </w:tc>
        <w:tc>
          <w:tcPr>
            <w:tcW w:w="3791" w:type="dxa"/>
            <w:shd w:val="clear" w:color="auto" w:fill="auto"/>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4,89</w:t>
            </w:r>
          </w:p>
        </w:tc>
      </w:tr>
      <w:tr w:rsidR="00AD0CB9" w:rsidRPr="00AD0CB9" w:rsidTr="00C818C9">
        <w:trPr>
          <w:trHeight w:val="1"/>
        </w:trPr>
        <w:tc>
          <w:tcPr>
            <w:tcW w:w="1990" w:type="dxa"/>
            <w:shd w:val="clear" w:color="auto" w:fill="70AD47"/>
          </w:tcPr>
          <w:p w:rsidR="00AD0CB9" w:rsidRPr="00AD0CB9" w:rsidRDefault="00AD0CB9" w:rsidP="00AD0CB9">
            <w:pPr>
              <w:spacing w:line="240" w:lineRule="auto"/>
              <w:jc w:val="both"/>
              <w:rPr>
                <w:rFonts w:ascii="Calibri" w:hAnsi="Calibri"/>
                <w:b/>
                <w:bCs/>
                <w:color w:val="0070C0"/>
                <w:sz w:val="21"/>
                <w:szCs w:val="21"/>
              </w:rPr>
            </w:pPr>
            <w:r w:rsidRPr="00AD0CB9">
              <w:rPr>
                <w:b/>
                <w:bCs/>
                <w:color w:val="0070C0"/>
                <w:sz w:val="28"/>
                <w:szCs w:val="28"/>
              </w:rPr>
              <w:t>2017</w:t>
            </w:r>
          </w:p>
        </w:tc>
        <w:tc>
          <w:tcPr>
            <w:tcW w:w="3790" w:type="dxa"/>
            <w:tcBorders>
              <w:bottom w:val="nil"/>
            </w:tcBorders>
            <w:shd w:val="clear" w:color="auto" w:fill="D8D8D8"/>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8,26</w:t>
            </w:r>
          </w:p>
        </w:tc>
        <w:tc>
          <w:tcPr>
            <w:tcW w:w="3791" w:type="dxa"/>
            <w:shd w:val="clear" w:color="auto" w:fill="D8D8D8"/>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5,16</w:t>
            </w:r>
          </w:p>
        </w:tc>
      </w:tr>
      <w:tr w:rsidR="00AD0CB9" w:rsidRPr="00AD0CB9" w:rsidTr="00C818C9">
        <w:trPr>
          <w:trHeight w:val="1"/>
        </w:trPr>
        <w:tc>
          <w:tcPr>
            <w:tcW w:w="1990" w:type="dxa"/>
            <w:shd w:val="clear" w:color="auto" w:fill="70AD47"/>
          </w:tcPr>
          <w:p w:rsidR="00AD0CB9" w:rsidRPr="00AD0CB9" w:rsidRDefault="00AD0CB9" w:rsidP="00AD0CB9">
            <w:pPr>
              <w:spacing w:line="240" w:lineRule="auto"/>
              <w:jc w:val="both"/>
              <w:rPr>
                <w:rFonts w:ascii="Calibri" w:hAnsi="Calibri"/>
                <w:b/>
                <w:bCs/>
                <w:color w:val="0070C0"/>
                <w:sz w:val="21"/>
                <w:szCs w:val="21"/>
              </w:rPr>
            </w:pPr>
            <w:r w:rsidRPr="00AD0CB9">
              <w:rPr>
                <w:b/>
                <w:bCs/>
                <w:color w:val="0070C0"/>
                <w:sz w:val="28"/>
                <w:szCs w:val="28"/>
              </w:rPr>
              <w:t>2018</w:t>
            </w:r>
          </w:p>
        </w:tc>
        <w:tc>
          <w:tcPr>
            <w:tcW w:w="3790" w:type="dxa"/>
            <w:tcBorders>
              <w:bottom w:val="nil"/>
            </w:tcBorders>
            <w:shd w:val="clear" w:color="auto" w:fill="D8D8D8"/>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8,70</w:t>
            </w:r>
          </w:p>
        </w:tc>
        <w:tc>
          <w:tcPr>
            <w:tcW w:w="3791" w:type="dxa"/>
            <w:shd w:val="clear" w:color="auto" w:fill="auto"/>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5,43</w:t>
            </w:r>
          </w:p>
        </w:tc>
      </w:tr>
      <w:tr w:rsidR="00AD0CB9" w:rsidRPr="00AD0CB9" w:rsidTr="00C818C9">
        <w:trPr>
          <w:trHeight w:val="1"/>
        </w:trPr>
        <w:tc>
          <w:tcPr>
            <w:tcW w:w="1990" w:type="dxa"/>
            <w:shd w:val="clear" w:color="auto" w:fill="70AD47"/>
          </w:tcPr>
          <w:p w:rsidR="00AD0CB9" w:rsidRPr="00AD0CB9" w:rsidRDefault="00AD0CB9" w:rsidP="00AD0CB9">
            <w:pPr>
              <w:spacing w:line="240" w:lineRule="auto"/>
              <w:jc w:val="both"/>
              <w:rPr>
                <w:rFonts w:ascii="Calibri" w:hAnsi="Calibri"/>
                <w:b/>
                <w:bCs/>
                <w:color w:val="0070C0"/>
                <w:sz w:val="21"/>
                <w:szCs w:val="21"/>
              </w:rPr>
            </w:pPr>
            <w:r w:rsidRPr="00AD0CB9">
              <w:rPr>
                <w:b/>
                <w:bCs/>
                <w:color w:val="0070C0"/>
                <w:sz w:val="28"/>
                <w:szCs w:val="28"/>
              </w:rPr>
              <w:t>2019</w:t>
            </w:r>
          </w:p>
        </w:tc>
        <w:tc>
          <w:tcPr>
            <w:tcW w:w="3790" w:type="dxa"/>
            <w:tcBorders>
              <w:bottom w:val="nil"/>
            </w:tcBorders>
            <w:shd w:val="clear" w:color="auto" w:fill="D8D8D8"/>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9,13</w:t>
            </w:r>
          </w:p>
        </w:tc>
        <w:tc>
          <w:tcPr>
            <w:tcW w:w="3791" w:type="dxa"/>
            <w:shd w:val="clear" w:color="auto" w:fill="D8D8D8"/>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5,71</w:t>
            </w:r>
          </w:p>
        </w:tc>
      </w:tr>
      <w:tr w:rsidR="00AD0CB9" w:rsidRPr="00AD0CB9" w:rsidTr="00C818C9">
        <w:trPr>
          <w:trHeight w:val="1"/>
        </w:trPr>
        <w:tc>
          <w:tcPr>
            <w:tcW w:w="1990" w:type="dxa"/>
            <w:shd w:val="clear" w:color="auto" w:fill="70AD47"/>
          </w:tcPr>
          <w:p w:rsidR="00AD0CB9" w:rsidRPr="00AD0CB9" w:rsidRDefault="00AD0CB9" w:rsidP="00AD0CB9">
            <w:pPr>
              <w:spacing w:line="240" w:lineRule="auto"/>
              <w:jc w:val="both"/>
              <w:rPr>
                <w:rFonts w:ascii="Calibri" w:hAnsi="Calibri"/>
                <w:b/>
                <w:bCs/>
                <w:color w:val="0070C0"/>
                <w:sz w:val="21"/>
                <w:szCs w:val="21"/>
              </w:rPr>
            </w:pPr>
            <w:r w:rsidRPr="00AD0CB9">
              <w:rPr>
                <w:b/>
                <w:bCs/>
                <w:color w:val="0070C0"/>
                <w:sz w:val="28"/>
                <w:szCs w:val="28"/>
              </w:rPr>
              <w:t>2020</w:t>
            </w:r>
          </w:p>
        </w:tc>
        <w:tc>
          <w:tcPr>
            <w:tcW w:w="3790" w:type="dxa"/>
            <w:tcBorders>
              <w:bottom w:val="nil"/>
            </w:tcBorders>
            <w:shd w:val="clear" w:color="auto" w:fill="D8D8D8"/>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9,57</w:t>
            </w:r>
          </w:p>
        </w:tc>
        <w:tc>
          <w:tcPr>
            <w:tcW w:w="3791" w:type="dxa"/>
            <w:shd w:val="clear" w:color="auto" w:fill="auto"/>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5,98</w:t>
            </w:r>
          </w:p>
        </w:tc>
      </w:tr>
      <w:tr w:rsidR="00AD0CB9" w:rsidRPr="00AD0CB9" w:rsidTr="00C818C9">
        <w:trPr>
          <w:trHeight w:val="1"/>
        </w:trPr>
        <w:tc>
          <w:tcPr>
            <w:tcW w:w="1990" w:type="dxa"/>
            <w:tcBorders>
              <w:bottom w:val="single" w:sz="18" w:space="0" w:color="auto"/>
            </w:tcBorders>
            <w:shd w:val="clear" w:color="auto" w:fill="70AD47"/>
          </w:tcPr>
          <w:p w:rsidR="00AD0CB9" w:rsidRPr="00AD0CB9" w:rsidRDefault="00AD0CB9" w:rsidP="00AD0CB9">
            <w:pPr>
              <w:spacing w:line="240" w:lineRule="auto"/>
              <w:jc w:val="both"/>
              <w:rPr>
                <w:rFonts w:ascii="Calibri" w:hAnsi="Calibri"/>
                <w:b/>
                <w:bCs/>
                <w:color w:val="0070C0"/>
                <w:sz w:val="21"/>
                <w:szCs w:val="21"/>
              </w:rPr>
            </w:pPr>
            <w:r w:rsidRPr="00AD0CB9">
              <w:rPr>
                <w:b/>
                <w:bCs/>
                <w:color w:val="0070C0"/>
                <w:sz w:val="28"/>
                <w:szCs w:val="28"/>
              </w:rPr>
              <w:t>2021 и последующие годы</w:t>
            </w:r>
          </w:p>
        </w:tc>
        <w:tc>
          <w:tcPr>
            <w:tcW w:w="3790" w:type="dxa"/>
            <w:shd w:val="clear" w:color="auto" w:fill="D8D8D8"/>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10,00</w:t>
            </w:r>
          </w:p>
        </w:tc>
        <w:tc>
          <w:tcPr>
            <w:tcW w:w="3791" w:type="dxa"/>
            <w:shd w:val="clear" w:color="auto" w:fill="D8D8D8"/>
          </w:tcPr>
          <w:p w:rsidR="00AD0CB9" w:rsidRPr="00AD0CB9" w:rsidRDefault="00AD0CB9" w:rsidP="00AD0CB9">
            <w:pPr>
              <w:spacing w:line="240" w:lineRule="auto"/>
              <w:jc w:val="both"/>
              <w:rPr>
                <w:rFonts w:ascii="Calibri" w:hAnsi="Calibri"/>
                <w:color w:val="0070C0"/>
                <w:sz w:val="21"/>
                <w:szCs w:val="21"/>
              </w:rPr>
            </w:pPr>
            <w:r w:rsidRPr="00AD0CB9">
              <w:rPr>
                <w:color w:val="0070C0"/>
                <w:sz w:val="28"/>
                <w:szCs w:val="28"/>
              </w:rPr>
              <w:t>6,25</w:t>
            </w:r>
          </w:p>
        </w:tc>
      </w:tr>
    </w:tbl>
    <w:p w:rsidR="00F034C4" w:rsidRPr="00AD0CB9" w:rsidRDefault="00F034C4" w:rsidP="00AD0CB9">
      <w:pPr>
        <w:spacing w:line="240" w:lineRule="auto"/>
        <w:jc w:val="both"/>
        <w:rPr>
          <w:color w:val="0070C0"/>
        </w:rPr>
      </w:pPr>
    </w:p>
    <w:sectPr w:rsidR="00F034C4" w:rsidRPr="00AD0CB9" w:rsidSect="00F03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CB9"/>
    <w:rsid w:val="001C584D"/>
    <w:rsid w:val="003C5FA4"/>
    <w:rsid w:val="00513BA6"/>
    <w:rsid w:val="00AD0CB9"/>
    <w:rsid w:val="00F034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CB9"/>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D0CB9"/>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D85DEC9EDBFB0E93DF59F70DC16695002B320EEC1C314A5A14372630A34FC611B4251FC6DV0kBH" TargetMode="External"/><Relationship Id="rId4" Type="http://schemas.openxmlformats.org/officeDocument/2006/relationships/hyperlink" Target="consultantplus://offline/ref=0D85DEC9EDBFB0E93DF59F70DC16695002B320EEC1C314A5A14372630A34FC611B4251FC6EV0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1502</dc:creator>
  <cp:keywords/>
  <dc:description/>
  <cp:lastModifiedBy>1502</cp:lastModifiedBy>
  <cp:revision>4</cp:revision>
  <dcterms:created xsi:type="dcterms:W3CDTF">2014-12-10T02:45:00Z</dcterms:created>
  <dcterms:modified xsi:type="dcterms:W3CDTF">2014-12-10T02:58:00Z</dcterms:modified>
</cp:coreProperties>
</file>